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left"/>
      </w:pPr>
      <w:r>
        <w:rPr>
          <w:b/>
          <w:bCs/>
          <w:color w:val="1F3864"/>
          <w:sz w:val="48"/>
          <w:szCs w:val="48"/>
        </w:rPr>
        <w:t xml:space="preserve">Reporte semanal MOL</w:t>
      </w:r>
    </w:p>
    <w:p>
      <w:pPr>
        <w:spacing w:after="80" w:before="0"/>
        <w:jc w:val="left"/>
      </w:pPr>
      <w:r>
        <w:rPr>
          <w:color w:val="2E75B6"/>
          <w:sz w:val="28"/>
          <w:szCs w:val="28"/>
        </w:rPr>
        <w:t xml:space="preserve">Semana del 12 al 18 de mayo de 2026</w:t>
      </w:r>
    </w:p>
    <w:p>
      <w:pPr>
        <w:spacing w:after="600" w:before="0"/>
        <w:jc w:val="left"/>
      </w:pPr>
      <w:r>
        <w:rPr>
          <w:i/>
          <w:iCs/>
          <w:color w:val="595959"/>
          <w:sz w:val="22"/>
          <w:szCs w:val="22"/>
        </w:rPr>
        <w:t xml:space="preserve">Documento técnico interno · Equipo MOL</w:t>
      </w:r>
    </w:p>
    <w:p>
      <w:pPr>
        <w:spacing w:after="200" w:before="200"/>
      </w:pPr>
      <w:r>
        <w:rPr>
          <w:b/>
          <w:bCs/>
          <w:color w:val="1F3864"/>
          <w:sz w:val="26"/>
          <w:szCs w:val="26"/>
        </w:rPr>
        <w:t xml:space="preserve">Lo más importante de esta semana</w:t>
      </w:r>
    </w:p>
    <w:p>
      <w:pPr>
        <w:pStyle w:val="ListParagraph"/>
        <w:numPr>
          <w:ilvl w:val="0"/>
          <w:numId w:val="2"/>
        </w:numPr>
        <w:spacing w:after="50" w:before="50" w:line="290"/>
        <w:jc w:val="both"/>
      </w:pPr>
      <w:r>
        <w:rPr>
          <w:b/>
          <w:bCs/>
        </w:rPr>
        <w:t xml:space="preserve">11.872 ofertas procesadas por NLP</w:t>
      </w:r>
      <w:r>
        <w:t xml:space="preserve"> (80,6% del backlog y 19,4% nuevas), con el lote de cierre semanal terminando el sábado 16 a las 21:02. El pipeline opera por lotes, no en continuo.</w:t>
      </w:r>
    </w:p>
    <w:p>
      <w:pPr>
        <w:pStyle w:val="ListParagraph"/>
        <w:numPr>
          <w:ilvl w:val="0"/>
          <w:numId w:val="2"/>
        </w:numPr>
        <w:spacing w:after="50" w:before="50" w:line="290"/>
        <w:jc w:val="both"/>
      </w:pPr>
      <w:r>
        <w:rPr>
          <w:b/>
          <w:bCs/>
        </w:rPr>
        <w:t xml:space="preserve">5 commits desplegados en producción</w:t>
      </w:r>
      <w:r>
        <w:t xml:space="preserve">, incluyendo el cierre completo del problema de drift de versionado, la corrección de KPIs hardcodeados en el dashboard de aprendizaje, y la habilitación del historial de corridas en la UI de Cyn.</w:t>
      </w:r>
    </w:p>
    <w:p>
      <w:pPr>
        <w:pStyle w:val="ListParagraph"/>
        <w:numPr>
          <w:ilvl w:val="0"/>
          <w:numId w:val="2"/>
        </w:numPr>
        <w:spacing w:after="50" w:before="50" w:line="290"/>
        <w:jc w:val="both"/>
      </w:pPr>
      <w:r>
        <w:rPr>
          <w:b/>
          <w:bCs/>
        </w:rPr>
        <w:t xml:space="preserve">Dos hallazgos graves detectados</w:t>
      </w:r>
      <w:r>
        <w:t xml:space="preserve">: (1) los KPIs de aprendizaje del dashboard mostraban valores inventados durante meses ("mejora del 8,5%" hardcodeada — la real es 4,5%); (2) la cobertura CLAE cayó entre 14 y 28 puntos porcentuales en TODOS los portales esta semana, no solo en Indeed. El primer punto se corrigió, el segundo requiere investigación específica.</w:t>
      </w:r>
    </w:p>
    <w:p>
      <w:pPr>
        <w:pStyle w:val="ListParagraph"/>
        <w:numPr>
          <w:ilvl w:val="0"/>
          <w:numId w:val="2"/>
        </w:numPr>
        <w:spacing w:after="50" w:before="50" w:line="290"/>
        <w:jc w:val="both"/>
      </w:pPr>
      <w:r>
        <w:rPr>
          <w:b/>
          <w:bCs/>
        </w:rPr>
        <w:t xml:space="preserve">Lectura del mercado: ComputRabajo es el único portal del interior argentino</w:t>
      </w:r>
      <w:r>
        <w:t xml:space="preserve">. Bumeran, ZonaJobs e Indeed están saturados en AMBA (≥ 78%). Sin ComputRabajo, el corpus de MOL pasaría de 74% AMBA a 88% AMBA.</w:t>
      </w:r>
    </w:p>
    <w:p>
      <w:pPr>
        <w:pStyle w:val="ListParagraph"/>
        <w:numPr>
          <w:ilvl w:val="0"/>
          <w:numId w:val="2"/>
        </w:numPr>
        <w:spacing w:after="50" w:before="50" w:line="290"/>
        <w:jc w:val="both"/>
      </w:pPr>
      <w:r>
        <w:rPr>
          <w:b/>
          <w:bCs/>
        </w:rPr>
        <w:t xml:space="preserve">Decisión tomada: drift de versionado cerrado</w:t>
      </w:r>
      <w:r>
        <w:t xml:space="preserve">. NLP, Matcher y CLAUDE.md ya no declaran versiones distintas. Cada componente tiene un archivo único de versión, un pre-commit hook valida los bumps, y el badge en /admin/validacion muestra valores reales en lugar del placeholder histórico.</w:t>
      </w:r>
    </w:p>
    <w:p>
      <w:pPr>
        <w:pStyle w:val="Heading1"/>
        <w:pageBreakBefore/>
        <w:spacing w:after="200" w:before="400"/>
      </w:pPr>
      <w:r>
        <w:rPr>
          <w:b/>
          <w:bCs/>
          <w:color w:val="1F3864"/>
          <w:sz w:val="30"/>
          <w:szCs w:val="30"/>
        </w:rPr>
        <w:t xml:space="preserve">1. Pulso semanal</w:t>
      </w:r>
    </w:p>
    <w:p>
      <w:pPr>
        <w:spacing w:after="100" w:before="100" w:line="320"/>
        <w:jc w:val="both"/>
      </w:pPr>
      <w:r>
        <w:t xml:space="preserve">La semana del 12 al 18 de mayo procesó un volumen alto de ofertas, predominantemente del backlog acumulado de semanas anteriores. El procesamiento se concentró en cuatro días efectivos (martes a sábado) y el lote de cierre semanal se terminó el sábado 16 a las 21:02. Domingo 17 y lunes 18 no tuvieron actividad de pipeline, lo cual corresponde al patrón operativo normal: el procesamiento es por lotes programados, no continuo.</w:t>
      </w:r>
    </w:p>
    <w:p>
      <w:pPr>
        <w:pStyle w:val="Heading2"/>
        <w:spacing w:after="160" w:before="280"/>
      </w:pPr>
      <w:r>
        <w:rPr>
          <w:b/>
          <w:bCs/>
          <w:color w:val="1F3864"/>
          <w:sz w:val="24"/>
          <w:szCs w:val="24"/>
        </w:rPr>
        <w:t xml:space="preserve">1.1 Volumen procesado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Métrica</w:t>
            </w:r>
          </w:p>
        </w:tc>
        <w:tc>
          <w:tcPr>
            <w:tcW w:type="dxa" w:w="278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Esta semana</w:t>
            </w:r>
          </w:p>
        </w:tc>
        <w:tc>
          <w:tcPr>
            <w:tcW w:type="dxa" w:w="278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Acumulado al 18-may</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Ofertas procesadas por NLP</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11.872</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69.794</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Ofertas con matching ESCO completado</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10.352</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68.241</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Ofertas con captura nueva (scrapeado_en ≥ 12-may)</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2.289 (19,4%)</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Ofertas del backlog (scrapeado_en &lt; 12-may)</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9.504 (80,6%)</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Diferencia entre NLP y matching (huérfanas)</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1.520</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 Bloqueadas por NLP gate</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24</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 Aprobaron gate sin matching registrado</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1.496</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w:t>
            </w:r>
          </w:p>
        </w:tc>
      </w:tr>
    </w:tbl>
    <w:p>
      <w:pPr>
        <w:spacing w:after="200" w:before="0"/>
      </w:pPr>
      <w:r>
        <w:t xml:space="preserve"/>
      </w:r>
    </w:p>
    <w:p>
      <w:pPr>
        <w:spacing w:after="100" w:before="100" w:line="320"/>
        <w:jc w:val="both"/>
      </w:pPr>
      <w:r>
        <w:t xml:space="preserve">La cohorte semanal está dominada por backlog viejo (80,6%), lo que es consistente con el objetivo del procesamiento intensivo: dejar el pipeline al día antes del cierre de mes. Las 1.496 ofertas huérfanas (aprobaron el gate del NLP pero no aparecen registradas en matching) son un punto que requiere investigación específica — el flag </w:t>
      </w:r>
      <w:r>
        <w:rPr>
          <w:rFonts w:ascii="Consolas" w:cs="Consolas" w:eastAsia="Consolas" w:hAnsi="Consolas"/>
          <w:sz w:val="20"/>
          <w:szCs w:val="20"/>
        </w:rPr>
        <w:t xml:space="preserve">pasa_a_matching</w:t>
      </w:r>
      <w:r>
        <w:t xml:space="preserve"> está 100% NULL en la ventana, por lo que la causa real no es legible desde la base de datos.</w:t>
      </w:r>
    </w:p>
    <w:p>
      <w:pPr>
        <w:pStyle w:val="Heading2"/>
        <w:spacing w:after="160" w:before="280"/>
      </w:pPr>
      <w:r>
        <w:rPr>
          <w:b/>
          <w:bCs/>
          <w:color w:val="1F3864"/>
          <w:sz w:val="24"/>
          <w:szCs w:val="24"/>
        </w:rPr>
        <w:t xml:space="preserve">1.2 Distribución por portal (cohorte semanal)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80"/>
        <w:gridCol w:w="2080"/>
      </w:tblGrid>
      <w:tr>
        <w:trPr>
          <w:tblHeader/>
        </w:trPr>
        <w:tc>
          <w:tcPr>
            <w:tcW w:type="dxa" w:w="30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Portal</w:t>
            </w:r>
          </w:p>
        </w:tc>
        <w:tc>
          <w:tcPr>
            <w:tcW w:type="dxa" w:w="22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Ofertas procesadas</w:t>
            </w:r>
          </w:p>
        </w:tc>
        <w:tc>
          <w:tcPr>
            <w:tcW w:type="dxa" w:w="208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 semana</w:t>
            </w:r>
          </w:p>
        </w:tc>
        <w:tc>
          <w:tcPr>
            <w:tcW w:type="dxa" w:w="208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 histórico documentado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ComputRabajo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5.512</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46,74%</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Indeed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2.571</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21,80%</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Bumeran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1.896</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16,08%</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ZonaJobs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1.358</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11,52%</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Portal Empleo Nacional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443</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3,76%</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Portal CABA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13</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0,11%</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w:t>
            </w:r>
          </w:p>
        </w:tc>
      </w:tr>
    </w:tbl>
    <w:p>
      <w:pPr>
        <w:spacing w:after="200" w:before="0"/>
      </w:pPr>
      <w:r>
        <w:t xml:space="preserve"/>
      </w:r>
    </w:p>
    <w:p>
      <w:pPr>
        <w:spacing w:after="100" w:before="100" w:line="320"/>
        <w:jc w:val="both"/>
      </w:pPr>
      <w:r>
        <w:t xml:space="preserve">La distribución por portal de la cohorte semanal no refleja el mix real de scraping; refleja qué quedaba en cola de procesamiento. Indeed casi duplicó su participación respecto al histórico documentado (de 12% a 21,8%), mientras que Bumeran cayó a la mitad (de 32% a 16,1%). Es un sesgo de orden de procesamiento, no de mercado.</w:t>
      </w:r>
    </w:p>
    <w:p>
      <w:pPr>
        <w:pStyle w:val="Heading2"/>
        <w:spacing w:after="160" w:before="280"/>
      </w:pPr>
      <w:r>
        <w:rPr>
          <w:b/>
          <w:bCs/>
          <w:color w:val="1F3864"/>
          <w:sz w:val="24"/>
          <w:szCs w:val="24"/>
        </w:rPr>
        <w:t xml:space="preserve">1.3 Latencia y patrón operativo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Métrica</w:t>
            </w:r>
          </w:p>
        </w:tc>
        <w:tc>
          <w:tcPr>
            <w:tcW w:type="dxa" w:w="268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Esta semana</w:t>
            </w:r>
          </w:p>
        </w:tc>
        <w:tc>
          <w:tcPr>
            <w:tcW w:type="dxa" w:w="268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Baseline 14-may</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Latencia media scraping → NLP</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14,22 días</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 días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Latencia mediana (p50)</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7,55 días</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Latencia percentil 90</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38,27 días</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Latencia máxima</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66,10 días</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w:t>
            </w:r>
          </w:p>
        </w:tc>
      </w:tr>
    </w:tbl>
    <w:p>
      <w:pPr>
        <w:spacing w:after="200" w:before="0"/>
      </w:pPr>
      <w:r>
        <w:t xml:space="preserve"/>
      </w:r>
    </w:p>
    <w:p>
      <w:pPr>
        <w:spacing w:after="100" w:before="100" w:line="320"/>
        <w:jc w:val="both"/>
      </w:pPr>
      <w:r>
        <w:t xml:space="preserve">La latencia media empeoró 136% respecto al baseline. La causa es directa: el 80,6% de las ofertas procesadas son del backlog, lo que arrastra la media hacia arriba. Cuando se descuenta el backlog, la latencia de las 2.289 ofertas nuevas se mantiene en torno al rango histórico. No es una regresión de proceso sino una característica esperada del lote de cierre.</w:t>
      </w:r>
    </w:p>
    <w:p>
      <w:pPr>
        <w:pStyle w:val="Heading1"/>
        <w:pageBreakBefore/>
        <w:spacing w:after="200" w:before="400"/>
      </w:pPr>
      <w:r>
        <w:rPr>
          <w:b/>
          <w:bCs/>
          <w:color w:val="1F3864"/>
          <w:sz w:val="30"/>
          <w:szCs w:val="30"/>
        </w:rPr>
        <w:t xml:space="preserve">2. Empalme con la serie histórica</w:t>
      </w:r>
    </w:p>
    <w:p>
      <w:pPr>
        <w:spacing w:after="100" w:before="100" w:line="320"/>
        <w:jc w:val="both"/>
      </w:pPr>
      <w:r>
        <w:t xml:space="preserve">Esta sección compara el estado del sistema al 18 de mayo con el snapshot del 14 de mayo utilizado en el informe técnico extenso del proyecto. Algunas métricas mejoraron sustancialmente, otras empeoraron, y varias dejaron de ser comparables porque el pipeline cambió el conjunto de columnas que persiste.</w:t>
      </w:r>
    </w:p>
    <w:p>
      <w:pPr>
        <w:pStyle w:val="Heading2"/>
        <w:spacing w:after="160" w:before="280"/>
      </w:pPr>
      <w:r>
        <w:rPr>
          <w:b/>
          <w:bCs/>
          <w:color w:val="1F3864"/>
          <w:sz w:val="24"/>
          <w:szCs w:val="24"/>
        </w:rPr>
        <w:t xml:space="preserve">2.1 Crecimiento del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80"/>
        <w:gridCol w:w="1880"/>
        <w:gridCol w:w="1600"/>
      </w:tblGrid>
      <w:tr>
        <w:trPr>
          <w:tblHeader/>
        </w:trPr>
        <w:tc>
          <w:tcPr>
            <w:tcW w:type="dxa" w:w="40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Métrica</w:t>
            </w:r>
          </w:p>
        </w:tc>
        <w:tc>
          <w:tcPr>
            <w:tcW w:type="dxa" w:w="188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14-may</w:t>
            </w:r>
          </w:p>
        </w:tc>
        <w:tc>
          <w:tcPr>
            <w:tcW w:type="dxa" w:w="188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18-may</w:t>
            </w:r>
          </w:p>
        </w:tc>
        <w:tc>
          <w:tcPr>
            <w:tcW w:type="dxa" w:w="16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Variación</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Ofertas capturadas</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66.499</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70.691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+4.192 (+6,3%)</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Ofertas con NLP completo</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60.930</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69.794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+8.864 (+14,5%)</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Ofertas con matching ESCO</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59.394</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68.241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+8.847 (+14,9%)</w:t>
            </w:r>
          </w:p>
        </w:tc>
      </w:tr>
    </w:tbl>
    <w:p>
      <w:pPr>
        <w:spacing w:after="200" w:before="0"/>
      </w:pPr>
      <w:r>
        <w:t xml:space="preserve"/>
      </w:r>
    </w:p>
    <w:p>
      <w:pPr>
        <w:spacing w:after="100" w:before="100" w:line="320"/>
        <w:jc w:val="both"/>
      </w:pPr>
      <w:r>
        <w:t xml:space="preserve">El salto de 4.192 ofertas capturadas en cuatro días no es solo nuevo scraping. Incluye 1.760 ofertas de ComputRabajo recuperadas por el commit </w:t>
      </w:r>
      <w:r>
        <w:rPr>
          <w:rFonts w:ascii="Consolas" w:cs="Consolas" w:eastAsia="Consolas" w:hAnsi="Consolas"/>
          <w:sz w:val="20"/>
          <w:szCs w:val="20"/>
        </w:rPr>
        <w:t xml:space="preserve">bc1b13f6</w:t>
      </w:r>
      <w:r>
        <w:t xml:space="preserve"> del 15 de mayo, que arregló un bug latente desde antes del 1 de marzo en el script </w:t>
      </w:r>
      <w:r>
        <w:rPr>
          <w:rFonts w:ascii="Consolas" w:cs="Consolas" w:eastAsia="Consolas" w:hAnsi="Consolas"/>
          <w:sz w:val="20"/>
          <w:szCs w:val="20"/>
        </w:rPr>
        <w:t xml:space="preserve">sync_from_vps.py</w:t>
      </w:r>
      <w:r>
        <w:t xml:space="preserve">. El crecimiento real de scraping nuevo es del orden de 2.400 ofertas en la semana.</w:t>
      </w:r>
    </w:p>
    <w:p>
      <w:pPr>
        <w:pStyle w:val="Heading2"/>
        <w:spacing w:after="160" w:before="280"/>
      </w:pPr>
      <w:r>
        <w:rPr>
          <w:b/>
          <w:bCs/>
          <w:color w:val="1F3864"/>
          <w:sz w:val="24"/>
          <w:szCs w:val="24"/>
        </w:rPr>
        <w:t xml:space="preserve">2.2 Mejoras consolidadas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500"/>
        <w:gridCol w:w="1860"/>
      </w:tblGrid>
      <w:tr>
        <w:trPr>
          <w:tblHeader/>
        </w:trPr>
        <w:tc>
          <w:tcPr>
            <w:tcW w:type="dxa" w:w="4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Métrica de calidad</w:t>
            </w:r>
          </w:p>
        </w:tc>
        <w:tc>
          <w:tcPr>
            <w:tcW w:type="dxa" w:w="1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14-may</w:t>
            </w:r>
          </w:p>
        </w:tc>
        <w:tc>
          <w:tcPr>
            <w:tcW w:type="dxa" w:w="1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18-may</w:t>
            </w:r>
          </w:p>
        </w:tc>
        <w:tc>
          <w:tcPr>
            <w:tcW w:type="dxa" w:w="186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Variación</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Dual_coinciden (% con regla y semántico alineados)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18,7%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30,05%</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+11,3 pp</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Cola larga argentina (NLP sin equivalente ESCO)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4.136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1.553</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−2.583 (−62%)</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Cobertura modalidad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99,28%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99,37%</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+0,09 pp</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Cobertura educación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81,32%</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+0,32 pp</w:t>
            </w:r>
          </w:p>
        </w:tc>
      </w:tr>
    </w:tbl>
    <w:p>
      <w:pPr>
        <w:spacing w:after="200" w:before="0"/>
      </w:pPr>
      <w:r>
        <w:t xml:space="preserve"/>
      </w:r>
    </w:p>
    <w:p>
      <w:pPr>
        <w:spacing w:after="100" w:before="100" w:line="320"/>
        <w:jc w:val="both"/>
      </w:pPr>
      <w:r>
        <w:t xml:space="preserve">Las dos mejoras más significativas son metodológicamente sólidas: el crecimiento del dual_coinciden refleja mejor convergencia entre el método de reglas y el semántico, y la caída de la cola larga argentina muestra que el matcher ahora encuentra equivalente ESCO en muchos más casos que antes. Ambas son consistentes con los ajustes acumulados al perfil argentino y a las reglas de matching.</w:t>
      </w:r>
    </w:p>
    <w:p>
      <w:pPr>
        <w:pStyle w:val="Heading2"/>
        <w:spacing w:after="160" w:before="280"/>
      </w:pPr>
      <w:r>
        <w:rPr>
          <w:b/>
          <w:bCs/>
          <w:color w:val="1F3864"/>
          <w:sz w:val="24"/>
          <w:szCs w:val="24"/>
        </w:rPr>
        <w:t xml:space="preserve">2.3 Regresiones y comportamientos no esperados</w:t>
      </w:r>
    </w:p>
    <w:p>
      <w:pPr>
        <w:spacing w:after="100" w:before="100" w:line="320"/>
        <w:jc w:val="both"/>
      </w:pPr>
      <w:r>
        <w:t xml:space="preserve">Esta semana detectamos varias variaciones respecto al baseline del informe largo. Algunas tienen explicación clara y otras requieren investigación. Las desglosamos con la explicación que pudimos reconstruir para cada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1600"/>
        <w:gridCol w:w="2560"/>
      </w:tblGrid>
      <w:tr>
        <w:trPr>
          <w:tblHeader/>
        </w:trPr>
        <w:tc>
          <w:tcPr>
            <w:tcW w:type="dxa" w:w="30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Métrica</w:t>
            </w:r>
          </w:p>
        </w:tc>
        <w:tc>
          <w:tcPr>
            <w:tcW w:type="dxa" w:w="11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14-may</w:t>
            </w:r>
          </w:p>
        </w:tc>
        <w:tc>
          <w:tcPr>
            <w:tcW w:type="dxa" w:w="11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18-may</w:t>
            </w:r>
          </w:p>
        </w:tc>
        <w:tc>
          <w:tcPr>
            <w:tcW w:type="dxa" w:w="16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Variación</w:t>
            </w:r>
          </w:p>
        </w:tc>
        <w:tc>
          <w:tcPr>
            <w:tcW w:type="dxa" w:w="256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Explicación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Latencia scraping → NLP (media)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 días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14,22 días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+136%</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Procesamiento de backlog antiguo (esperable)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Cobertura CLAE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83,5%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64,06%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−19,4 pp</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Causa parcialmente identificada (ver 2.4)</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Cobertura provincia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86,17%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−0,83 pp</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Variación marginal, dentro de ruido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Cobertura salario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1,71%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1,62%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−0,09 pp</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Variación marginal, dentro de ruido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Tasa AutoCorrector aparente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0,63%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0,070%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−0,56 pp (9× peor)</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Artefacto de cálculo (ver 2.5)</w:t>
            </w:r>
          </w:p>
        </w:tc>
      </w:tr>
    </w:tbl>
    <w:p>
      <w:pPr>
        <w:spacing w:after="200" w:before="0"/>
      </w:pPr>
      <w:r>
        <w:t xml:space="preserve"/>
      </w:r>
    </w:p>
    <w:p>
      <w:pPr>
        <w:pStyle w:val="Heading2"/>
        <w:spacing w:after="160" w:before="280"/>
      </w:pPr>
      <w:r>
        <w:rPr>
          <w:b/>
          <w:bCs/>
          <w:color w:val="1F3864"/>
          <w:sz w:val="24"/>
          <w:szCs w:val="24"/>
        </w:rPr>
        <w:t xml:space="preserve">2.4 Caída de cobertura CLAE: el hallazgo que requiere investigación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36"/>
              <w:bottom w:val="single" w:color="C00000" w:sz="6"/>
              <w:right w:val="single" w:color="C00000" w:sz="6"/>
            </w:tcBorders>
            <w:shd w:fill="FCE4D6" w:val="clear"/>
            <w:tcMar>
              <w:top w:type="dxa" w:w="140"/>
              <w:left w:type="dxa" w:w="260"/>
              <w:bottom w:type="dxa" w:w="140"/>
              <w:right w:type="dxa" w:w="200"/>
            </w:tcMar>
          </w:tcPr>
          <w:p>
            <w:pPr>
              <w:spacing w:after="100" w:before="80"/>
            </w:pPr>
            <w:r>
              <w:rPr>
                <w:b/>
                <w:bCs/>
                <w:color w:val="1F3864"/>
                <w:sz w:val="22"/>
                <w:szCs w:val="22"/>
              </w:rPr>
              <w:t xml:space="preserve">Lo importante</w:t>
            </w:r>
          </w:p>
          <w:p>
            <w:pPr>
              <w:spacing w:after="60" w:before="60" w:line="300"/>
              <w:jc w:val="both"/>
            </w:pPr>
            <w:r>
              <w:rPr>
                <w:sz w:val="22"/>
                <w:szCs w:val="22"/>
              </w:rPr>
              <w:t xml:space="preserve">Nuestra hipótesis inicial era que la baja de cobertura CLAE (de 83,5% a 64,06%) se explicaba por el cambio de mix de portales: como esta semana procesamos proporcionalmente más Indeed (que tiene cobertura CLAE estructuralmente baja), la cobertura agregada del lote bajaba mecánicamente. El análisis de los datos refutó esta hipótesis.</w:t>
            </w:r>
          </w:p>
        </w:tc>
      </w:tr>
    </w:tbl>
    <w:p>
      <w:pPr>
        <w:spacing w:after="220" w:before="0"/>
      </w:pPr>
      <w:r>
        <w:t xml:space="preserve"/>
      </w:r>
    </w:p>
    <w:p>
      <w:pPr>
        <w:spacing w:after="100" w:before="100" w:line="320"/>
        <w:jc w:val="both"/>
      </w:pPr>
      <w:r>
        <w:t xml:space="preserve">Cuando desagregamos la cobertura CLAE por portal entre la cohorte semanal y el corpus pre-semana, encontramos que todos los portales muestran caídas significativas, no solo Indeed: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Portal</w:t>
            </w:r>
          </w:p>
        </w:tc>
        <w:tc>
          <w:tcPr>
            <w:tcW w:type="dxa" w:w="22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Cobertura pre-semana</w:t>
            </w:r>
          </w:p>
        </w:tc>
        <w:tc>
          <w:tcPr>
            <w:tcW w:type="dxa" w:w="24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Cobertura cohorte semanal</w:t>
            </w:r>
          </w:p>
        </w:tc>
        <w:tc>
          <w:tcPr>
            <w:tcW w:type="dxa" w:w="196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Variación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ComputRabajo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80,62%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66,38%</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−14,2 pp</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Bumeran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96,69%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68,11%</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−28,6 pp</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ZonaJobs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91,21%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68,79%</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−22,4 pp</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Indeed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54,93%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47,11%</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−7,8 pp</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Portal Empleo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88,87%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76,30%</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−12,6 pp</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TOTAL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85,33%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64,06%</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−21,3 pp</w:t>
            </w:r>
          </w:p>
        </w:tc>
      </w:tr>
    </w:tbl>
    <w:p>
      <w:pPr>
        <w:spacing w:after="200" w:before="0"/>
      </w:pPr>
      <w:r>
        <w:t xml:space="preserve"/>
      </w:r>
    </w:p>
    <w:p>
      <w:pPr>
        <w:spacing w:after="100" w:before="100" w:line="320"/>
        <w:jc w:val="both"/>
      </w:pPr>
      <w:r>
        <w:t xml:space="preserve">La caída es sistemática en todos los portales y es particularmente grave en Bumeran (28,6 pp), donde la cobertura histórica era casi perfecta (96,7%). Si la cobertura de cada portal se hubiera mantenido en sus niveles históricos y solo hubiera cambiado el mix, la cobertura agregada esperada sería del orden de 82-83%, no 64%. Hay aproximadamente 18-20 puntos porcentuales de caída que no se explican por composición.</w:t>
      </w:r>
    </w:p>
    <w:p>
      <w:pPr>
        <w:spacing w:after="100" w:before="100" w:line="320"/>
        <w:jc w:val="both"/>
      </w:pPr>
      <w:r>
        <w:t xml:space="preserve">Tres hipótesis posibles para investigar la próxima semana: (a) el backlog procesado contiene ofertas anteriores a la introducción del clasificador CLAE; (b) hay una regresión silenciosa del módulo CLAE introducida en algún cambio reciente que no fue detectada; (c) un cambio en el criterio de scoring del clasificador está devolviendo más NULL de lo esperado. La diferencia entre las tres hipótesis es importante: la primera no requiere acción, la segunda y la tercera sí. Es la primera tarea técnica del plan de la próxima semana.</w:t>
      </w:r>
    </w:p>
    <w:p>
      <w:pPr>
        <w:pStyle w:val="Heading2"/>
        <w:spacing w:after="160" w:before="280"/>
      </w:pPr>
      <w:r>
        <w:rPr>
          <w:b/>
          <w:bCs/>
          <w:color w:val="1F3864"/>
          <w:sz w:val="24"/>
          <w:szCs w:val="24"/>
        </w:rPr>
        <w:t xml:space="preserve">2.5 La tasa del AutoCorrector: artefacto de medición, no regresión</w:t>
      </w:r>
    </w:p>
    <w:p>
      <w:pPr>
        <w:spacing w:after="100" w:before="100" w:line="320"/>
        <w:jc w:val="both"/>
      </w:pPr>
      <w:r>
        <w:t xml:space="preserve">La caída aparente de la tasa de corrección del AutoCorrector (de 0,63% a 0,07%) es el resultado de comparar dos métricas calculadas de manera distinta. El baseline histórico de 0,63% se calculó como corregidos / errores_detectados sobre el corpus acumulado. La cifra actual de 0,07% se calcula sobre la cohorte semanal. La diferencia es metodológica: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800"/>
        <w:gridCol w:w="1560"/>
      </w:tblGrid>
      <w:tr>
        <w:trPr>
          <w:tblHeader/>
        </w:trPr>
        <w:tc>
          <w:tcPr>
            <w:tcW w:type="dxa" w:w="4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Método de cálculo</w:t>
            </w:r>
          </w:p>
        </w:tc>
        <w:tc>
          <w:tcPr>
            <w:tcW w:type="dxa" w:w="1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Errores</w:t>
            </w:r>
          </w:p>
        </w:tc>
        <w:tc>
          <w:tcPr>
            <w:tcW w:type="dxa" w:w="18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Corregidos</w:t>
            </w:r>
          </w:p>
        </w:tc>
        <w:tc>
          <w:tcPr>
            <w:tcW w:type="dxa" w:w="156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Tasa</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Corpus total acumulado al 18-may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278.565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1.613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0,579%</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Cohorte de esta semana (12-18 may)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37.280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26</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0,070%</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Baseline real pre-semana (&lt; 12-may)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241.285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1.587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0,658%</w:t>
            </w:r>
          </w:p>
        </w:tc>
      </w:tr>
    </w:tbl>
    <w:p>
      <w:pPr>
        <w:spacing w:after="200" w:before="0"/>
      </w:pPr>
      <w:r>
        <w:t xml:space="preserve"/>
      </w:r>
    </w:p>
    <w:p>
      <w:pPr>
        <w:spacing w:after="100" w:before="100" w:line="320"/>
        <w:jc w:val="both"/>
      </w:pPr>
      <w:r>
        <w:t xml:space="preserve">Los errores detectados viven con su timestamp original (cuando se detectaron, no cuando se procesaron de nuevo). Como el 80,6% de la cohorte semanal es backlog antiguo, las correcciones de esas ofertas ya están contabilizadas en semanas anteriores, no en esta. La cifra del 0,07% es un cociente de manzanas y sandías: numerador (corregidos esta semana) sobre denominador (errores creados esta semana).</w:t>
      </w:r>
    </w:p>
    <w:p>
      <w:pPr>
        <w:spacing w:after="100" w:before="100" w:line="320"/>
        <w:jc w:val="both"/>
      </w:pPr>
      <w:r>
        <w:t xml:space="preserve">Hay además un dato más profundo que el informe largo no incorporó. De los 42 tipos de diagnóstico declarados en el AutoCorrector, solo 6 disparan corrección automática (los demás escalan a Claude o reprocesan). El techo teórico de la tasa es alrededor del 14%, no 100%. La métrica de "tasa de corrección efectiva" como está formulada subestima el comportamiento real del componente. Se propone cambiar la métrica a "% corregidos sobre no-escalados", que es la pregunta operativa relevante. Quedó en el plan de la próxima semana.</w:t>
      </w:r>
    </w:p>
    <w:p>
      <w:pPr>
        <w:pStyle w:val="Heading2"/>
        <w:spacing w:after="160" w:before="280"/>
      </w:pPr>
      <w:r>
        <w:rPr>
          <w:b/>
          <w:bCs/>
          <w:color w:val="1F3864"/>
          <w:sz w:val="24"/>
          <w:szCs w:val="24"/>
        </w:rPr>
        <w:t xml:space="preserve">2.6 Métricas que dejaron de ser comparables (decisiones consolidadas)</w:t>
      </w:r>
    </w:p>
    <w:p>
      <w:pPr>
        <w:spacing w:after="100" w:before="100" w:line="320"/>
        <w:jc w:val="both"/>
      </w:pPr>
      <w:r>
        <w:t xml:space="preserve">Tres métricas del informe largo ya no son directamente comparables porque corresponden a decisiones arquitectónicas que el equipo tomó previamente y que no estaban documentadas en el informe. La aclaración importante: estas no son regresiones de esta semana ni de las últimas semanas. Son decisiones consolidadas en el pipeline desde enero o antes.</w:t>
      </w:r>
    </w:p>
    <w:p>
      <w:pPr>
        <w:pStyle w:val="ListParagraph"/>
        <w:numPr>
          <w:ilvl w:val="0"/>
          <w:numId w:val="2"/>
        </w:numPr>
        <w:spacing w:after="50" w:before="50" w:line="290"/>
        <w:jc w:val="both"/>
      </w:pPr>
      <w:r>
        <w:rPr>
          <w:b/>
          <w:bCs/>
        </w:rPr>
        <w:t xml:space="preserve">Cobertura del perfil argentino curado</w:t>
      </w:r>
      <w:r>
        <w:t xml:space="preserve"> pasó de 43,3% a 100% porque ahora el pipeline exige URI ESCO para insertar fila en la tabla de matching. La métrica perdió poder discriminatorio. La métrica refinada (43% sobre las 44 ocupaciones curadas específicamente) sigue teniendo sentido analítico y se reporta en la sección 3.4.</w:t>
      </w:r>
    </w:p>
    <w:p>
      <w:pPr>
        <w:pStyle w:val="ListParagraph"/>
        <w:numPr>
          <w:ilvl w:val="0"/>
          <w:numId w:val="2"/>
        </w:numPr>
        <w:spacing w:after="50" w:before="50" w:line="290"/>
        <w:jc w:val="both"/>
      </w:pPr>
      <w:r>
        <w:rPr>
          <w:b/>
          <w:bCs/>
        </w:rPr>
        <w:t xml:space="preserve">8 columnas de score 100% NULL en ofertas_esco_matching</w:t>
      </w:r>
      <w:r>
        <w:t xml:space="preserve">: </w:t>
      </w:r>
      <w:r>
        <w:rPr>
          <w:rFonts w:ascii="Consolas" w:cs="Consolas" w:eastAsia="Consolas" w:hAnsi="Consolas"/>
          <w:sz w:val="20"/>
          <w:szCs w:val="20"/>
        </w:rPr>
        <w:t xml:space="preserve">score_titulo</w:t>
      </w:r>
      <w:r>
        <w:t xml:space="preserve">, </w:t>
      </w:r>
      <w:r>
        <w:rPr>
          <w:rFonts w:ascii="Consolas" w:cs="Consolas" w:eastAsia="Consolas" w:hAnsi="Consolas"/>
          <w:sz w:val="20"/>
          <w:szCs w:val="20"/>
        </w:rPr>
        <w:t xml:space="preserve">score_skills</w:t>
      </w:r>
      <w:r>
        <w:t xml:space="preserve">, </w:t>
      </w:r>
      <w:r>
        <w:rPr>
          <w:rFonts w:ascii="Consolas" w:cs="Consolas" w:eastAsia="Consolas" w:hAnsi="Consolas"/>
          <w:sz w:val="20"/>
          <w:szCs w:val="20"/>
        </w:rPr>
        <w:t xml:space="preserve">score_descripcion</w:t>
      </w:r>
      <w:r>
        <w:t xml:space="preserve">, </w:t>
      </w:r>
      <w:r>
        <w:rPr>
          <w:rFonts w:ascii="Consolas" w:cs="Consolas" w:eastAsia="Consolas" w:hAnsi="Consolas"/>
          <w:sz w:val="20"/>
          <w:szCs w:val="20"/>
        </w:rPr>
        <w:t xml:space="preserve">score_final_ponderado</w:t>
      </w:r>
      <w:r>
        <w:t xml:space="preserve">, </w:t>
      </w:r>
      <w:r>
        <w:rPr>
          <w:rFonts w:ascii="Consolas" w:cs="Consolas" w:eastAsia="Consolas" w:hAnsi="Consolas"/>
          <w:sz w:val="20"/>
          <w:szCs w:val="20"/>
        </w:rPr>
        <w:t xml:space="preserve">confidence_score</w:t>
      </w:r>
      <w:r>
        <w:t xml:space="preserve">, </w:t>
      </w:r>
      <w:r>
        <w:rPr>
          <w:rFonts w:ascii="Consolas" w:cs="Consolas" w:eastAsia="Consolas" w:hAnsi="Consolas"/>
          <w:sz w:val="20"/>
          <w:szCs w:val="20"/>
        </w:rPr>
        <w:t xml:space="preserve">rerank_score</w:t>
      </w:r>
      <w:r>
        <w:t xml:space="preserve">, </w:t>
      </w:r>
      <w:r>
        <w:rPr>
          <w:rFonts w:ascii="Consolas" w:cs="Consolas" w:eastAsia="Consolas" w:hAnsi="Consolas"/>
          <w:sz w:val="20"/>
          <w:szCs w:val="20"/>
        </w:rPr>
        <w:t xml:space="preserve">occupation_match_score</w:t>
      </w:r>
      <w:r>
        <w:t xml:space="preserve">, </w:t>
      </w:r>
      <w:r>
        <w:rPr>
          <w:rFonts w:ascii="Consolas" w:cs="Consolas" w:eastAsia="Consolas" w:hAnsi="Consolas"/>
          <w:sz w:val="20"/>
          <w:szCs w:val="20"/>
        </w:rPr>
        <w:t xml:space="preserve">skills_coherence_ratio</w:t>
      </w:r>
      <w:r>
        <w:t xml:space="preserve">. Estas columnas nunca fueron escritas por el pipeline v3 del matcher (vigente desde el 15 de enero de 2026, commit </w:t>
      </w:r>
      <w:r>
        <w:rPr>
          <w:rFonts w:ascii="Consolas" w:cs="Consolas" w:eastAsia="Consolas" w:hAnsi="Consolas"/>
          <w:sz w:val="20"/>
          <w:szCs w:val="20"/>
        </w:rPr>
        <w:t xml:space="preserve">3d3b7807</w:t>
      </w:r>
      <w:r>
        <w:t xml:space="preserve">). El diseño de v3 usa un score agregado único en lugar del desglose detallado de v2. La documentación interna (</w:t>
      </w:r>
      <w:r>
        <w:rPr>
          <w:rFonts w:ascii="Consolas" w:cs="Consolas" w:eastAsia="Consolas" w:hAnsi="Consolas"/>
          <w:sz w:val="20"/>
          <w:szCs w:val="20"/>
        </w:rPr>
        <w:t xml:space="preserve">DICCIONARIO_DATOS_DASHBOARD.md</w:t>
      </w:r>
      <w:r>
        <w:t xml:space="preserve">, </w:t>
      </w:r>
      <w:r>
        <w:rPr>
          <w:rFonts w:ascii="Consolas" w:cs="Consolas" w:eastAsia="Consolas" w:hAnsi="Consolas"/>
          <w:sz w:val="20"/>
          <w:szCs w:val="20"/>
        </w:rPr>
        <w:t xml:space="preserve">ARQUITECTURA_BD_MOL.md</w:t>
      </w:r>
      <w:r>
        <w:t xml:space="preserve">) sigue listando estas columnas como si estuvieran pobladas, lo que generó la confusión. Es deuda de documentación, no bug.</w:t>
      </w:r>
    </w:p>
    <w:p>
      <w:pPr>
        <w:pStyle w:val="ListParagraph"/>
        <w:numPr>
          <w:ilvl w:val="0"/>
          <w:numId w:val="2"/>
        </w:numPr>
        <w:spacing w:after="50" w:before="50" w:line="290"/>
        <w:jc w:val="both"/>
      </w:pPr>
      <w:r>
        <w:rPr>
          <w:b/>
          <w:bCs/>
        </w:rPr>
        <w:t xml:space="preserve">isco_nivel1 100% NULL</w:t>
      </w:r>
      <w:r>
        <w:t xml:space="preserve">. Misma raíz: nunca fue parte del pipeline v3. La derivación se hace on-the-fly desde </w:t>
      </w:r>
      <w:r>
        <w:rPr>
          <w:rFonts w:ascii="Consolas" w:cs="Consolas" w:eastAsia="Consolas" w:hAnsi="Consolas"/>
          <w:sz w:val="20"/>
          <w:szCs w:val="20"/>
        </w:rPr>
        <w:t xml:space="preserve">isco_code</w:t>
      </w:r>
      <w:r>
        <w:t xml:space="preserve"> cuando se necesita (con </w:t>
      </w:r>
      <w:r>
        <w:rPr>
          <w:rFonts w:ascii="Consolas" w:cs="Consolas" w:eastAsia="Consolas" w:hAnsi="Consolas"/>
          <w:sz w:val="20"/>
          <w:szCs w:val="20"/>
        </w:rPr>
        <w:t xml:space="preserve">SUBSTR(isco_code, 1, 1)</w:t>
      </w:r>
      <w:r>
        <w:t xml:space="preserve">). No bloquea ningún análisis pero la columna existe en el schema sin ser usada.</w:t>
      </w:r>
    </w:p>
    <w:p>
      <w:pPr>
        <w:pStyle w:val="Heading1"/>
        <w:pageBreakBefore/>
        <w:spacing w:after="200" w:before="400"/>
      </w:pPr>
      <w:r>
        <w:rPr>
          <w:b/>
          <w:bCs/>
          <w:color w:val="1F3864"/>
          <w:sz w:val="30"/>
          <w:szCs w:val="30"/>
        </w:rPr>
        <w:t xml:space="preserve">3. Lectura del mercado</w:t>
      </w:r>
    </w:p>
    <w:p>
      <w:pPr>
        <w:spacing w:after="100" w:before="100" w:line="320"/>
        <w:jc w:val="both"/>
      </w:pPr>
      <w:r>
        <w:rPr>
          <w:i/>
          <w:iCs/>
        </w:rPr>
        <w:t xml:space="preserve">Esta sección presenta hallazgos descriptivos sobre el corpus acumulado al 18 de mayo. El tono es deliberadamente exploratorio: el equipo está empezando a entender estos datos y todavía no se publican tendencias. Los hallazgos se presentan desagregados por portal cuando aporta valor, evitando agregados que reintroduzcan el sesgo del mix de portales documentado en el informe largo.</w:t>
      </w:r>
    </w:p>
    <w:p>
      <w:pPr>
        <w:pStyle w:val="Heading2"/>
        <w:spacing w:after="160" w:before="280"/>
      </w:pPr>
      <w:r>
        <w:rPr>
          <w:b/>
          <w:bCs/>
          <w:color w:val="1F3864"/>
          <w:sz w:val="24"/>
          <w:szCs w:val="24"/>
        </w:rPr>
        <w:t xml:space="preserve">3.1 Fotografía del corpus a hoy</w:t>
      </w:r>
    </w:p>
    <w:p>
      <w:pPr>
        <w:spacing w:after="100" w:before="100" w:line="320"/>
        <w:jc w:val="both"/>
      </w:pPr>
      <w:r>
        <w:t xml:space="preserve">El corpus matcheado al 18 de mayo contiene 68.241 ofertas. La distribución por familia ocupacional ISCO de un dígito muestra que las cinco primeras familias concentran el 79% del corpus, con profesionales (24,7%) y técnicos (18,8%) liderando, seguidos por servicios y vendedores (13,7%), personal administrativo (11,4%) y directivos (10,4%).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280"/>
        <w:gridCol w:w="2580"/>
      </w:tblGrid>
      <w:tr>
        <w:trPr>
          <w:tblHeader/>
        </w:trPr>
        <w:tc>
          <w:tcPr>
            <w:tcW w:type="dxa" w:w="4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Familia ISCO</w:t>
            </w:r>
          </w:p>
        </w:tc>
        <w:tc>
          <w:tcPr>
            <w:tcW w:type="dxa" w:w="228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Acumulado</w:t>
            </w:r>
          </w:p>
        </w:tc>
        <w:tc>
          <w:tcPr>
            <w:tcW w:type="dxa" w:w="258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 Corpus</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2 — Profesionales científicos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16.843</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24,7%</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3 — Técnicos nivel medio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12.827</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18,8%</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5 — Servicios y vendedores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9.314</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13,7%</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4 — Personal administrativo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7.742</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11,4%</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1 — Directores y gerentes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7.067</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10,4%</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7 — Oficiales y operarios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6.122</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9,0%</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9 — Ocupaciones elementales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5.530</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8,1%</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8 — Operadores de instalaciones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2.538</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3,7%</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6 — Agricultores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220</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0,3%</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0 — Fuerzas armadas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26</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0,04%</w:t>
            </w:r>
          </w:p>
        </w:tc>
      </w:tr>
    </w:tbl>
    <w:p>
      <w:pPr>
        <w:spacing w:after="200" w:before="0"/>
      </w:pPr>
      <w:r>
        <w:t xml:space="preserve"/>
      </w:r>
    </w:p>
    <w:p>
      <w:pPr>
        <w:spacing w:after="100" w:before="100" w:line="320"/>
        <w:jc w:val="both"/>
      </w:pPr>
      <w:r>
        <w:t xml:space="preserve">Las 15 ocupaciones más demandadas a nivel ISCO de cuatro dígitos acumulan el 41% del corpus, lo que muestra una distribución muy concentrada. Las primeras tres posiciones son vendedor especializado (6,87%), representante comercial (6,70%) y contable (4,11%). Desarrollador de software ocupa el quinto puesto (2,96%) pero su distribución por portal es dramáticamente desigual, como se desarrolla en la subsección siguiente.</w:t>
      </w:r>
    </w:p>
    <w:p>
      <w:pPr>
        <w:pStyle w:val="Heading2"/>
        <w:spacing w:after="160" w:before="280"/>
      </w:pPr>
      <w:r>
        <w:rPr>
          <w:b/>
          <w:bCs/>
          <w:color w:val="1F3864"/>
          <w:sz w:val="24"/>
          <w:szCs w:val="24"/>
        </w:rPr>
        <w:t xml:space="preserve">3.2 Los cuatro portales son cuatro mercados distintos</w:t>
      </w:r>
    </w:p>
    <w:p>
      <w:pPr>
        <w:spacing w:after="100" w:before="100" w:line="320"/>
        <w:jc w:val="both"/>
      </w:pPr>
      <w:r>
        <w:t xml:space="preserve">Uno de los hallazgos más claros de este primer análisis es que los cuatro portales principales no observan el mismo mercado. Cada portal tiene un perfil ocupacional propio que sesga el corpus en una dirección específica.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500"/>
        <w:gridCol w:w="1500"/>
      </w:tblGrid>
      <w:tr>
        <w:trPr>
          <w:tblHeader/>
        </w:trPr>
        <w:tc>
          <w:tcPr>
            <w:tcW w:type="dxa" w:w="36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Familia ISCO</w:t>
            </w:r>
          </w:p>
        </w:tc>
        <w:tc>
          <w:tcPr>
            <w:tcW w:type="dxa" w:w="1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ComputRabajo</w:t>
            </w:r>
          </w:p>
        </w:tc>
        <w:tc>
          <w:tcPr>
            <w:tcW w:type="dxa" w:w="1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Bumeran</w:t>
            </w:r>
          </w:p>
        </w:tc>
        <w:tc>
          <w:tcPr>
            <w:tcW w:type="dxa" w:w="1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ZonaJobs</w:t>
            </w:r>
          </w:p>
        </w:tc>
        <w:tc>
          <w:tcPr>
            <w:tcW w:type="dxa" w:w="1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Indeed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2 — Profesionales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17,7%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25,5%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29,9%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42,3%</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3 — Técnicos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17,6%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20,6%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17,4%</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5 — Servicios y vendedores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17,3%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11,3%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9,5%</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1 — Directores y gerentes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7,8%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12,4%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12,1%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12,5%</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7 — Oficios calificados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11,4%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7,5%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4,2%</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9 — Ocupaciones elementales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12,7%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5,6%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3,1%</w:t>
            </w:r>
          </w:p>
        </w:tc>
      </w:tr>
    </w:tbl>
    <w:p>
      <w:pPr>
        <w:spacing w:after="200" w:before="0"/>
      </w:pPr>
      <w:r>
        <w:t xml:space="preserve"/>
      </w:r>
    </w:p>
    <w:p>
      <w:pPr>
        <w:spacing w:after="100" w:before="100" w:line="320"/>
        <w:jc w:val="both"/>
      </w:pPr>
      <w:r>
        <w:rPr>
          <w:b/>
          <w:bCs/>
        </w:rPr>
        <w:t xml:space="preserve">Indeed es estructuralmente distinto.</w:t>
      </w:r>
      <w:r>
        <w:t xml:space="preserve"> Concentra el 42% de su volumen en profesionales científicos (ISCO 2), 2,4 veces más que ComputRabajo en la misma categoría. En Indeed, "desarrollador de software" es la ocupación líder del perfil argentino curado (757 ofertas, ningún otro portal lo tiene en el top). Indeed es, en términos prácticos, un portal especializado en TIC y profesionales senior.</w:t>
      </w:r>
    </w:p>
    <w:p>
      <w:pPr>
        <w:spacing w:after="100" w:before="100" w:line="320"/>
        <w:jc w:val="both"/>
      </w:pPr>
      <w:r>
        <w:rPr>
          <w:b/>
          <w:bCs/>
        </w:rPr>
        <w:t xml:space="preserve">ComputRabajo cubre el espectro operativo.</w:t>
      </w:r>
      <w:r>
        <w:t xml:space="preserve"> Es el portal que más oficiales y operarios captura (11,4%) y el que más ocupaciones elementales captura (12,7%), proporciones 2,5 a 4 veces mayores que las de Indeed. Es también el único portal con peso significativo en servicios y ventas (17,3%).</w:t>
      </w:r>
    </w:p>
    <w:p>
      <w:pPr>
        <w:spacing w:after="100" w:before="100" w:line="320"/>
        <w:jc w:val="both"/>
      </w:pPr>
      <w:r>
        <w:rPr>
          <w:b/>
          <w:bCs/>
        </w:rPr>
        <w:t xml:space="preserve">Bumeran y ZonaJobs son los portales del trabajo administrativo y comercial AMBA.</w:t>
      </w:r>
      <w:r>
        <w:t xml:space="preserve"> Concentran administrativos (12,7% y 12,1%), representantes comerciales y profesionales generales, con poca presencia operativa y casi nula presencia rural o industrial.</w:t>
      </w:r>
    </w:p>
    <w:p>
      <w:pPr>
        <w:pStyle w:val="Heading2"/>
        <w:spacing w:after="160" w:before="280"/>
      </w:pPr>
      <w:r>
        <w:rPr>
          <w:b/>
          <w:bCs/>
          <w:color w:val="1F3864"/>
          <w:sz w:val="24"/>
          <w:szCs w:val="24"/>
        </w:rPr>
        <w:t xml:space="preserve">3.3 El interior argentino vive en ComputRabajo</w:t>
      </w:r>
    </w:p>
    <w:p>
      <w:pPr>
        <w:spacing w:after="100" w:before="100" w:line="320"/>
        <w:jc w:val="both"/>
      </w:pPr>
      <w:r>
        <w:t xml:space="preserve">La segmentación geográfica del corpus revela un hallazgo operativamente importante. Mientras tres de los cuatro portales principales están saturados en el Área Metropolitana de Buenos Aires, ComputRabajo es el único que captura cantidad significativa del interior del país.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500"/>
        <w:gridCol w:w="16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Portal</w:t>
            </w:r>
          </w:p>
        </w:tc>
        <w:tc>
          <w:tcPr>
            <w:tcW w:type="dxa" w:w="17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AMBA</w:t>
            </w:r>
          </w:p>
        </w:tc>
        <w:tc>
          <w:tcPr>
            <w:tcW w:type="dxa" w:w="17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Interior</w:t>
            </w:r>
          </w:p>
        </w:tc>
        <w:tc>
          <w:tcPr>
            <w:tcW w:type="dxa" w:w="1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 AMBA</w:t>
            </w:r>
          </w:p>
        </w:tc>
        <w:tc>
          <w:tcPr>
            <w:tcW w:type="dxa" w:w="166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 Interior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ComputRabajo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10.434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9.675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51,9%</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48,1%</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Bumeran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19.086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2.823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87,1%</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12,9%</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ZonaJobs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8.800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1.266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87,4%</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12,6%</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Indeed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5.254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1.494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77,9%</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22,1%</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TOTAL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43.592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15.258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74,1%</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25,9%</w:t>
            </w:r>
          </w:p>
        </w:tc>
      </w:tr>
    </w:tbl>
    <w:p>
      <w:pPr>
        <w:spacing w:after="200" w:before="0"/>
      </w:pPr>
      <w:r>
        <w:t xml:space="preserve"/>
      </w:r>
    </w:p>
    <w:p>
      <w:pPr>
        <w:spacing w:after="100" w:before="100" w:line="320"/>
        <w:jc w:val="both"/>
      </w:pPr>
      <w:r>
        <w:t xml:space="preserve">El detalle por provincia es aún más claro: ComputRabajo tiene mayoría absoluta en 15 de las 24 jurisdicciones argentinas. La concentración llega al 76% en San Luis, 74% en Tucumán, 73% en Córdoba, 66% en Río Negro, 58% en Neuquén y Santa Fe. En todas las provincias salvo Buenos Aires y CABA, ComputRabajo es el portal dominante.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36"/>
              <w:bottom w:val="single" w:color="2E75B6" w:sz="6"/>
              <w:right w:val="single" w:color="2E75B6" w:sz="6"/>
            </w:tcBorders>
            <w:shd w:fill="D5E8F0" w:val="clear"/>
            <w:tcMar>
              <w:top w:type="dxa" w:w="140"/>
              <w:left w:type="dxa" w:w="260"/>
              <w:bottom w:type="dxa" w:w="140"/>
              <w:right w:type="dxa" w:w="200"/>
            </w:tcMar>
          </w:tcPr>
          <w:p>
            <w:pPr>
              <w:spacing w:after="100" w:before="80"/>
            </w:pPr>
            <w:r>
              <w:rPr>
                <w:b/>
                <w:bCs/>
                <w:color w:val="1F3864"/>
                <w:sz w:val="22"/>
                <w:szCs w:val="22"/>
              </w:rPr>
              <w:t xml:space="preserve">Implicación operativa</w:t>
            </w:r>
          </w:p>
          <w:p>
            <w:pPr>
              <w:spacing w:after="60" w:before="60" w:line="300"/>
              <w:jc w:val="both"/>
            </w:pPr>
            <w:r>
              <w:rPr>
                <w:sz w:val="22"/>
                <w:szCs w:val="22"/>
              </w:rPr>
              <w:t xml:space="preserve">Sin ComputRabajo, el corpus de MOL pasaría de 74% AMBA a aproximadamente 88% AMBA. Cualquier estrategia de expansión de cobertura geográfica del interior pasa por sostener y reforzar la captura desde este portal específico. La diferencia estructural entre ComputRabajo y los otros tres portales no es accidental: refleja la posición del portal en el mercado argentino real, donde captura mejor la oferta laboral fuera del corredor económico central.</w:t>
            </w:r>
          </w:p>
        </w:tc>
      </w:tr>
    </w:tbl>
    <w:p>
      <w:pPr>
        <w:spacing w:after="220" w:before="0"/>
      </w:pPr>
      <w:r>
        <w:t xml:space="preserve"/>
      </w:r>
    </w:p>
    <w:p>
      <w:pPr>
        <w:pStyle w:val="Heading2"/>
        <w:spacing w:after="160" w:before="280"/>
      </w:pPr>
      <w:r>
        <w:rPr>
          <w:b/>
          <w:bCs/>
          <w:color w:val="1F3864"/>
          <w:sz w:val="24"/>
          <w:szCs w:val="24"/>
        </w:rPr>
        <w:t xml:space="preserve">3.4 La demanda llega filtrada por consultoras</w:t>
      </w:r>
    </w:p>
    <w:p>
      <w:pPr>
        <w:spacing w:after="100" w:before="100" w:line="320"/>
        <w:jc w:val="both"/>
      </w:pPr>
      <w:r>
        <w:t xml:space="preserve">Otro hallazgo importante emerge cuando se mira qué empresas publican el mayor volumen de ofertas. De las 15 empresas con más publicaciones en la semana, diez son consultoras de recursos humanos o agencias de staffing.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700"/>
        <w:gridCol w:w="2260"/>
      </w:tblGrid>
      <w:tr>
        <w:trPr>
          <w:tblHeader/>
        </w:trPr>
        <w:tc>
          <w:tcPr>
            <w:tcW w:type="dxa" w:w="38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Empresa</w:t>
            </w:r>
          </w:p>
        </w:tc>
        <w:tc>
          <w:tcPr>
            <w:tcW w:type="dxa" w:w="16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Ofertas</w:t>
            </w:r>
          </w:p>
        </w:tc>
        <w:tc>
          <w:tcPr>
            <w:tcW w:type="dxa" w:w="17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Portales</w:t>
            </w:r>
          </w:p>
        </w:tc>
        <w:tc>
          <w:tcPr>
            <w:tcW w:type="dxa" w:w="226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ISCO distintos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Confidencial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663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129</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Grupo Gestión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314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78</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ADN - Recursos Humanos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271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69</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ManpowerGroup</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239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66</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Adecco Argentina S.A.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212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70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Pullmen RRHH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134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48</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Consultores de Empresas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53</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Ceta Capital Humano</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104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Aliantec</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Randstad Argentina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37</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JPMorgan Chase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34</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EPAM Systems, Inc.</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55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15</w:t>
            </w:r>
          </w:p>
        </w:tc>
      </w:tr>
    </w:tbl>
    <w:p>
      <w:pPr>
        <w:spacing w:after="200" w:before="0"/>
      </w:pPr>
      <w:r>
        <w:t xml:space="preserve"/>
      </w:r>
    </w:p>
    <w:p>
      <w:pPr>
        <w:spacing w:after="100" w:before="100" w:line="320"/>
        <w:jc w:val="both"/>
      </w:pPr>
      <w:r>
        <w:t xml:space="preserve">Solo JPMorgan y EPAM aparecen en el top como clientes finales; el resto son intermediarios. Esto tiene una implicación metodológica importante para análisis futuros: lo que MOL observa no es directamente la demanda de las empresas finales, sino la demanda mediada por consultoras de staffing. Una consultora como Grupo Gestión publica una sola semana 314 ofertas en 78 ocupaciones diferentes, agregando demanda de múltiples clientes simultáneamente. Cualquier análisis sectorial o de empresas debe ajustarse a esta característica del corpus.</w:t>
      </w:r>
    </w:p>
    <w:p>
      <w:pPr>
        <w:pStyle w:val="Heading2"/>
        <w:spacing w:after="160" w:before="280"/>
      </w:pPr>
      <w:r>
        <w:rPr>
          <w:b/>
          <w:bCs/>
          <w:color w:val="1F3864"/>
          <w:sz w:val="24"/>
          <w:szCs w:val="24"/>
        </w:rPr>
        <w:t xml:space="preserve">3.5 Aprendiendo a leer los datos</w:t>
      </w:r>
    </w:p>
    <w:p>
      <w:pPr>
        <w:spacing w:after="100" w:before="100" w:line="320"/>
        <w:jc w:val="both"/>
      </w:pPr>
      <w:r>
        <w:t xml:space="preserve">El procesamiento de esta semana, combinado con la corrida específica de análisis para este reporte, reveló varios hallazgos que refinan o corrigen lo que el informe técnico extenso decía hace cuatro días.</w:t>
      </w:r>
    </w:p>
    <w:p>
      <w:pPr>
        <w:pStyle w:val="Heading3"/>
        <w:spacing w:after="120" w:before="220"/>
      </w:pPr>
      <w:r>
        <w:rPr>
          <w:b/>
          <w:bCs/>
          <w:color w:val="2E75B6"/>
          <w:sz w:val="22"/>
          <w:szCs w:val="22"/>
        </w:rPr>
        <w:t xml:space="preserve">Refinamiento del dual_coinciden</w:t>
      </w:r>
    </w:p>
    <w:p>
      <w:pPr>
        <w:spacing w:after="100" w:before="100" w:line="320"/>
        <w:jc w:val="both"/>
      </w:pPr>
      <w:r>
        <w:t xml:space="preserve">El informe largo presentó </w:t>
      </w:r>
      <w:r>
        <w:rPr>
          <w:rFonts w:ascii="Consolas" w:cs="Consolas" w:eastAsia="Consolas" w:hAnsi="Consolas"/>
          <w:sz w:val="20"/>
          <w:szCs w:val="20"/>
        </w:rPr>
        <w:t xml:space="preserve">dual_coinciden</w:t>
      </w:r>
      <w:r>
        <w:t xml:space="preserve"> = 18,7% como "el indicador más robusto disponible" para evaluar la confianza del matching. El análisis detallado de esta semana refina la lectura. La distribución completa del campo en el corpus acumulado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900"/>
        <w:gridCol w:w="1960"/>
      </w:tblGrid>
      <w:tr>
        <w:trPr>
          <w:tblHeader/>
        </w:trPr>
        <w:tc>
          <w:tcPr>
            <w:tcW w:type="dxa" w:w="5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Estado de dual_coinciden</w:t>
            </w:r>
          </w:p>
        </w:tc>
        <w:tc>
          <w:tcPr>
            <w:tcW w:type="dxa" w:w="19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Ofertas</w:t>
            </w:r>
          </w:p>
        </w:tc>
        <w:tc>
          <w:tcPr>
            <w:tcW w:type="dxa" w:w="196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 Corpus</w:t>
            </w:r>
          </w:p>
        </w:tc>
      </w:tr>
      <w:tr>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Acuerdo (regla y semántico coinciden)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13.660</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20,02%</w:t>
            </w:r>
          </w:p>
        </w:tc>
      </w:tr>
      <w:tr>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Desacuerdo explícito (regla y semántico difieren)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31.803</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46,60%</w:t>
            </w:r>
          </w:p>
        </w:tc>
      </w:tr>
      <w:tr>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No aplica (solo semántico operó, sin regla)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22.778</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33,38%</w:t>
            </w:r>
          </w:p>
        </w:tc>
      </w:tr>
    </w:tbl>
    <w:p>
      <w:pPr>
        <w:spacing w:after="200" w:before="0"/>
      </w:pPr>
      <w:r>
        <w:t xml:space="preserve"/>
      </w:r>
    </w:p>
    <w:p>
      <w:pPr>
        <w:spacing w:after="100" w:before="100" w:line="320"/>
        <w:jc w:val="both"/>
      </w:pPr>
      <w:r>
        <w:t xml:space="preserve">Lo que el número 20% nos dice es que solo una de cada cinco ofertas tiene confirmación cruzada entre los dos métodos del matcher. Más importante aún: cuando los dos métodos opinaron (es decir, cuando ambos clasificaron la oferta), opinaron distinto el 47% de las veces. Esto es información significativa: el matcher tiene divergencia interna más alta de lo que sugería la presentación inicial.</w:t>
      </w:r>
    </w:p>
    <w:p>
      <w:pPr>
        <w:pStyle w:val="Heading3"/>
        <w:spacing w:after="120" w:before="220"/>
      </w:pPr>
      <w:r>
        <w:rPr>
          <w:b/>
          <w:bCs/>
          <w:color w:val="2E75B6"/>
          <w:sz w:val="22"/>
          <w:szCs w:val="22"/>
        </w:rPr>
        <w:t xml:space="preserve">Ocupaciones con divergencia sistemática</w:t>
      </w:r>
    </w:p>
    <w:p>
      <w:pPr>
        <w:spacing w:after="100" w:before="100" w:line="320"/>
        <w:jc w:val="both"/>
      </w:pPr>
      <w:r>
        <w:t xml:space="preserve">Ninguna ocupación ISCO de 4 dígitos con n ≥ 30 tiene </w:t>
      </w:r>
      <w:r>
        <w:rPr>
          <w:rFonts w:ascii="Consolas" w:cs="Consolas" w:eastAsia="Consolas" w:hAnsi="Consolas"/>
          <w:sz w:val="20"/>
          <w:szCs w:val="20"/>
        </w:rPr>
        <w:t xml:space="preserve">dual_coinciden</w:t>
      </w:r>
      <w:r>
        <w:t xml:space="preserve"> = 100%. Es decir, en cualquier ocupación que se mire con suficiente muestra, los dos métodos del matcher discrepan en al menos un caso. En el otro extremo, hay ocupaciones donde la divergencia es prácticamente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700"/>
        <w:gridCol w:w="2160"/>
      </w:tblGrid>
      <w:tr>
        <w:trPr>
          <w:tblHeader/>
        </w:trPr>
        <w:tc>
          <w:tcPr>
            <w:tcW w:type="dxa" w:w="1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ISCO</w:t>
            </w:r>
          </w:p>
        </w:tc>
        <w:tc>
          <w:tcPr>
            <w:tcW w:type="dxa" w:w="40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Etiqueta</w:t>
            </w:r>
          </w:p>
        </w:tc>
        <w:tc>
          <w:tcPr>
            <w:tcW w:type="dxa" w:w="17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n total</w:t>
            </w:r>
          </w:p>
        </w:tc>
        <w:tc>
          <w:tcPr>
            <w:tcW w:type="dxa" w:w="216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Divergencia</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9329</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Trabajador de fábrica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1.381</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1.376 (99,6%)</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5222</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Supervisor de tienda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133</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128 (96,2%)</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2522</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Administrador de sistemas TIC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69</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58 (84,1%)</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3331</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Agente y comisionista de aduanas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67</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63 (94,0%)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7214</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Remachador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58</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55 (94,8%)</w:t>
            </w:r>
          </w:p>
        </w:tc>
      </w:tr>
    </w:tbl>
    <w:p>
      <w:pPr>
        <w:spacing w:after="200" w:before="0"/>
      </w:pPr>
      <w:r>
        <w:t xml:space="preserve"/>
      </w:r>
    </w:p>
    <w:p>
      <w:pPr>
        <w:spacing w:after="100" w:before="100" w:line="320"/>
        <w:jc w:val="both"/>
      </w:pPr>
      <w:r>
        <w:t xml:space="preserve">ISCO 9329 (trabajador de fábrica) tiene 1.376 ofertas con divergencia regla/semántico sobre 1.381 totales. Esto sugiere que la regla de negocio que asigna esta clasificación captura un universo de ofertas más amplio del que la descripción ESCO contempla. Es un candidato concreto a revisión: o la regla está mal definida, o la ocupación ESCO es demasiado específica para los avisos argentinos. Quedó documentado como tarea de análisis para la próxima semana.</w:t>
      </w:r>
    </w:p>
    <w:p>
      <w:pPr>
        <w:pStyle w:val="Heading3"/>
        <w:spacing w:after="120" w:before="220"/>
      </w:pPr>
      <w:r>
        <w:rPr>
          <w:b/>
          <w:bCs/>
          <w:color w:val="2E75B6"/>
          <w:sz w:val="22"/>
          <w:szCs w:val="22"/>
        </w:rPr>
        <w:t xml:space="preserve">Cobertura del perfil argentino: lectura refinada</w:t>
      </w:r>
    </w:p>
    <w:p>
      <w:pPr>
        <w:spacing w:after="100" w:before="100" w:line="320"/>
        <w:jc w:val="both"/>
      </w:pPr>
      <w:r>
        <w:t xml:space="preserve">La cobertura del perfil argentino curado (44 ocupaciones) sobre el corpus matcheado se mantiene en 43%, prácticamente idéntica a la documentada en el informe largo. El detalle por portal muestra una particularidad importante: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Portal</w:t>
            </w:r>
          </w:p>
        </w:tc>
        <w:tc>
          <w:tcPr>
            <w:tcW w:type="dxa" w:w="22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Dentro del perfil</w:t>
            </w:r>
          </w:p>
        </w:tc>
        <w:tc>
          <w:tcPr>
            <w:tcW w:type="dxa" w:w="22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Fuera del perfil</w:t>
            </w:r>
          </w:p>
        </w:tc>
        <w:tc>
          <w:tcPr>
            <w:tcW w:type="dxa" w:w="216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 Cobertura</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ComputRabajo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11.825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15.468</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43,3%</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Bumeran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9.974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11.975</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45,4%</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ZonaJobs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4.469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5.618</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44,3%</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Indeed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2.733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5.214</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34,4%</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TOTAL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29.346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38.895</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43,0%</w:t>
            </w:r>
          </w:p>
        </w:tc>
      </w:tr>
    </w:tbl>
    <w:p>
      <w:pPr>
        <w:spacing w:after="200" w:before="0"/>
      </w:pPr>
      <w:r>
        <w:t xml:space="preserve"/>
      </w:r>
    </w:p>
    <w:p>
      <w:pPr>
        <w:spacing w:after="100" w:before="100" w:line="320"/>
        <w:jc w:val="both"/>
      </w:pPr>
      <w:r>
        <w:t xml:space="preserve">Indeed tiene 9 puntos porcentuales menos de cobertura que el resto. La explicación es directa: el perfil argentino curado fue construido pensando en argentinidad ocupacional general, y la sobre-representación de ocupaciones TIC profesionales en Indeed (desarrollador de software, ingeniero de datos, consultor TIC, etc.) queda parcialmente fuera del perfil. Esto sugiere que el crecimiento natural del perfil curado debería incorporar ocupaciones TIC argentinas como prioridad.</w:t>
      </w:r>
    </w:p>
    <w:p>
      <w:pPr>
        <w:pStyle w:val="Heading3"/>
        <w:spacing w:after="120" w:before="220"/>
      </w:pPr>
      <w:r>
        <w:rPr>
          <w:b/>
          <w:bCs/>
          <w:color w:val="2E75B6"/>
          <w:sz w:val="22"/>
          <w:szCs w:val="22"/>
        </w:rPr>
        <w:t xml:space="preserve">Hallazgo curioso: ofertas duplicadas masivas</w:t>
      </w:r>
    </w:p>
    <w:p>
      <w:pPr>
        <w:spacing w:after="100" w:before="100" w:line="320"/>
        <w:jc w:val="both"/>
      </w:pPr>
      <w:r>
        <w:t xml:space="preserve">El análisis de la semana detectó que ARCOS DORADOS publicó 14 veces el mismo aviso (trabajador de atención de mostrador) con cantidad de vacantes 100 cada uno, en el Portal Empleo Nacional. Otras empresas con patrón similar incluyen GASTRO MANAGEMENT GROUP, QUALITY CLEAN SOLUTIONS y MOSTAZA Y PAN, todas con avisos de 100 vacantes repetidos. No está claro si es re-publicación intencional de la misma búsqueda, deduplicación incompleta del scraper de Portal Empleo, o política real de las empresas de relanzar el mismo aviso. Quedó documentado como tarea de investigación.</w:t>
      </w:r>
    </w:p>
    <w:p>
      <w:pPr>
        <w:pStyle w:val="Heading2"/>
        <w:spacing w:after="160" w:before="280"/>
      </w:pPr>
      <w:r>
        <w:rPr>
          <w:b/>
          <w:bCs/>
          <w:color w:val="1F3864"/>
          <w:sz w:val="24"/>
          <w:szCs w:val="24"/>
        </w:rPr>
        <w:t xml:space="preserve">3.6 Notas metodológicas honestas</w:t>
      </w:r>
    </w:p>
    <w:p>
      <w:pPr>
        <w:spacing w:after="100" w:before="100" w:line="320"/>
        <w:jc w:val="both"/>
      </w:pPr>
      <w:r>
        <w:t xml:space="preserve">El análisis intentó capturar también las "ocupaciones que crecieron esta semana", pero el ejercicio reveló que esa pregunta no es respondible con los datos disponibles. La cohorte de la semana está dominada por backlog (80,6%), lo que significa que las ocupaciones que aparecen más esta semana son las que quedaban en cola de procesamiento, no las que el mercado publicó nuevas. Reportar "el desarrollador de software creció 0,41 puntos" sería interpretar un sesgo de procesamiento como un movimiento de mercado.</w:t>
      </w:r>
    </w:p>
    <w:p>
      <w:pPr>
        <w:spacing w:after="100" w:before="100" w:line="320"/>
        <w:jc w:val="both"/>
      </w:pPr>
      <w:r>
        <w:t xml:space="preserve">Lo único que sí se pudo identificar con confianza fueron cuatro ocupaciones ISCO completamente nuevas en el corpus esta semana (responsable de servicios informáticos en centros médicos, coordinador de montaje de maquinaria, criador de animales para peletería y mensajero en bicicleta), pero las cuatro tienen n=1, por lo que no representan tendencia, solo presencia incidental.</w:t>
      </w:r>
    </w:p>
    <w:p>
      <w:pPr>
        <w:spacing w:after="100" w:before="100" w:line="320"/>
        <w:jc w:val="both"/>
      </w:pPr>
      <w:r>
        <w:t xml:space="preserve">La conclusión metodológica del ejercicio es la misma que el informe largo declaró: MOL todavía no puede publicar tendencias temporales del corpus agregado. Lo que sí puede publicar son fotografías comparadas entre portales, que es lo que esta sección hizo.</w:t>
      </w:r>
    </w:p>
    <w:p>
      <w:pPr>
        <w:pStyle w:val="Heading1"/>
        <w:pageBreakBefore/>
        <w:spacing w:after="200" w:before="400"/>
      </w:pPr>
      <w:r>
        <w:rPr>
          <w:b/>
          <w:bCs/>
          <w:color w:val="1F3864"/>
          <w:sz w:val="30"/>
          <w:szCs w:val="30"/>
        </w:rPr>
        <w:t xml:space="preserve">4. Cambios introducidos esta semana</w:t>
      </w:r>
    </w:p>
    <w:p>
      <w:pPr>
        <w:spacing w:after="100" w:before="100" w:line="320"/>
        <w:jc w:val="both"/>
      </w:pPr>
      <w:r>
        <w:t xml:space="preserve">La semana cerró cinco cambios desplegados en producción más una migration de base de datos. La densidad de cambios es alta porque la semana incluyó el cierre completo del problema de drift de versionado que se documentó como decisión pendiente en el informe largo.</w:t>
      </w:r>
    </w:p>
    <w:p>
      <w:pPr>
        <w:pStyle w:val="Heading2"/>
        <w:spacing w:after="160" w:before="280"/>
      </w:pPr>
      <w:r>
        <w:rPr>
          <w:b/>
          <w:bCs/>
          <w:color w:val="1F3864"/>
          <w:sz w:val="24"/>
          <w:szCs w:val="24"/>
        </w:rPr>
        <w:t xml:space="preserve">4.1 Resumen de despliegues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4500"/>
        <w:gridCol w:w="1960"/>
      </w:tblGrid>
      <w:tr>
        <w:trPr>
          <w:tblHeader/>
        </w:trPr>
        <w:tc>
          <w:tcPr>
            <w:tcW w:type="dxa" w:w="16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Commit</w:t>
            </w:r>
          </w:p>
        </w:tc>
        <w:tc>
          <w:tcPr>
            <w:tcW w:type="dxa" w:w="13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Fecha</w:t>
            </w:r>
          </w:p>
        </w:tc>
        <w:tc>
          <w:tcPr>
            <w:tcW w:type="dxa" w:w="4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Descripción</w:t>
            </w:r>
          </w:p>
        </w:tc>
        <w:tc>
          <w:tcPr>
            <w:tcW w:type="dxa" w:w="196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Estado</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25cd4423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13-may</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Backfill de versiones reales en ofertas_dashboard</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Deployado</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aa8ed8a9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14-may</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Fix de matching: LIMIT no se aplica cuando offer_ids está presente</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Deployado</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5a223fcf</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14-may</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Fix NLP: resolver bloqueos NV02 + typo NV04 semi_senior</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Deployado</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bc1b13f6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15-may</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Fix de sync VPS: race condition + recuperación de 1.760 ofertas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Deployado</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ed7ea461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17-may</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Sección historial de corridas en /admin/aprendizaje</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Deployado</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ff046356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17-may</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Eliminación de hardcodeos en KPIs de aprendizaje</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Deployado</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61359c89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17-may</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Filtro por source en historial (migration 023)</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Deployado</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b86d7dc1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18-may</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Disciplina de versionado: archivos VERSION + pre-commit hook</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Deployado</w:t>
            </w:r>
          </w:p>
        </w:tc>
      </w:tr>
    </w:tbl>
    <w:p>
      <w:pPr>
        <w:spacing w:after="200" w:before="0"/>
      </w:pPr>
      <w:r>
        <w:t xml:space="preserve"/>
      </w:r>
    </w:p>
    <w:p>
      <w:pPr>
        <w:pStyle w:val="Heading2"/>
        <w:spacing w:after="160" w:before="280"/>
      </w:pPr>
      <w:r>
        <w:rPr>
          <w:b/>
          <w:bCs/>
          <w:color w:val="1F3864"/>
          <w:sz w:val="24"/>
          <w:szCs w:val="24"/>
        </w:rPr>
        <w:t xml:space="preserve">4.2 Cierre del drift de versionado</w:t>
      </w:r>
    </w:p>
    <w:p>
      <w:pPr>
        <w:spacing w:after="100" w:before="100" w:line="320"/>
        <w:jc w:val="both"/>
      </w:pPr>
      <w:r>
        <w:t xml:space="preserve">El informe técnico extenso identificó como decisión pendiente la coexistencia de tres versiones discrepantes dentro de cada componente: docstring del archivo, atributo de clase ejecutado, y referencias en CLAUDE.md / learnings.yaml. Cuatro commits de la semana cerraron este problema:</w:t>
      </w:r>
    </w:p>
    <w:p>
      <w:pPr>
        <w:pStyle w:val="ListParagraph"/>
        <w:numPr>
          <w:ilvl w:val="0"/>
          <w:numId w:val="2"/>
        </w:numPr>
        <w:spacing w:after="50" w:before="50" w:line="290"/>
        <w:jc w:val="both"/>
      </w:pPr>
      <w:r>
        <w:rPr>
          <w:b/>
          <w:bCs/>
        </w:rPr>
        <w:t xml:space="preserve">Backfill retroactivo </w:t>
      </w:r>
      <w:r>
        <w:rPr>
          <w:rFonts w:ascii="Consolas" w:cs="Consolas" w:eastAsia="Consolas" w:hAnsi="Consolas"/>
          <w:sz w:val="20"/>
          <w:szCs w:val="20"/>
        </w:rPr>
        <w:t xml:space="preserve">(25cd4423)</w:t>
      </w:r>
      <w:r>
        <w:t xml:space="preserve">: las 68.241 ofertas del corpus matcheado fueron actualizadas con la versión real del matcher según la fecha del run. 46.223 ofertas quedaron marcadas como matching v3.5.4, 9.829 como v3.5.5 (post-14-may), y 12.058 históricas sin run_id permanecen en v3.5.2.</w:t>
      </w:r>
    </w:p>
    <w:p>
      <w:pPr>
        <w:pStyle w:val="ListParagraph"/>
        <w:numPr>
          <w:ilvl w:val="0"/>
          <w:numId w:val="2"/>
        </w:numPr>
        <w:spacing w:after="50" w:before="50" w:line="290"/>
        <w:jc w:val="both"/>
      </w:pPr>
      <w:r>
        <w:rPr>
          <w:b/>
          <w:bCs/>
        </w:rPr>
        <w:t xml:space="preserve">Archivos de versión planos </w:t>
      </w:r>
      <w:r>
        <w:rPr>
          <w:rFonts w:ascii="Consolas" w:cs="Consolas" w:eastAsia="Consolas" w:hAnsi="Consolas"/>
          <w:sz w:val="20"/>
          <w:szCs w:val="20"/>
        </w:rPr>
        <w:t xml:space="preserve">(b86d7dc1)</w:t>
      </w:r>
      <w:r>
        <w:t xml:space="preserve">: </w:t>
      </w:r>
      <w:r>
        <w:rPr>
          <w:rFonts w:ascii="Consolas" w:cs="Consolas" w:eastAsia="Consolas" w:hAnsi="Consolas"/>
          <w:sz w:val="20"/>
          <w:szCs w:val="20"/>
        </w:rPr>
        <w:t xml:space="preserve">database/NLP_VERSION</w:t>
      </w:r>
      <w:r>
        <w:t xml:space="preserve"> contiene 11.3.1, </w:t>
      </w:r>
      <w:r>
        <w:rPr>
          <w:rFonts w:ascii="Consolas" w:cs="Consolas" w:eastAsia="Consolas" w:hAnsi="Consolas"/>
          <w:sz w:val="20"/>
          <w:szCs w:val="20"/>
        </w:rPr>
        <w:t xml:space="preserve">database/MATCHER_VERSION</w:t>
      </w:r>
      <w:r>
        <w:t xml:space="preserve"> contiene 3.5.5. Los scripts del pipeline leen el archivo en lugar de tener constantes hardcoded.</w:t>
      </w:r>
    </w:p>
    <w:p>
      <w:pPr>
        <w:pStyle w:val="ListParagraph"/>
        <w:numPr>
          <w:ilvl w:val="0"/>
          <w:numId w:val="2"/>
        </w:numPr>
        <w:spacing w:after="50" w:before="50" w:line="290"/>
        <w:jc w:val="both"/>
      </w:pPr>
      <w:r>
        <w:rPr>
          <w:b/>
          <w:bCs/>
        </w:rPr>
        <w:t xml:space="preserve">Pre-commit hook </w:t>
      </w:r>
      <w:r>
        <w:t xml:space="preserve">: valida que cualquier modificación a </w:t>
      </w:r>
      <w:r>
        <w:rPr>
          <w:rFonts w:ascii="Consolas" w:cs="Consolas" w:eastAsia="Consolas" w:hAnsi="Consolas"/>
          <w:sz w:val="20"/>
          <w:szCs w:val="20"/>
        </w:rPr>
        <w:t xml:space="preserve">match_ofertas_v3.py</w:t>
      </w:r>
      <w:r>
        <w:t xml:space="preserve"> o </w:t>
      </w:r>
      <w:r>
        <w:rPr>
          <w:rFonts w:ascii="Consolas" w:cs="Consolas" w:eastAsia="Consolas" w:hAnsi="Consolas"/>
          <w:sz w:val="20"/>
          <w:szCs w:val="20"/>
        </w:rPr>
        <w:t xml:space="preserve">process_nlp_from_db_v11.py</w:t>
      </w:r>
      <w:r>
        <w:t xml:space="preserve"> venga acompañada del bump correspondiente en el archivo VERSION, con escape para cambios cosméticos vía </w:t>
      </w:r>
      <w:r>
        <w:rPr>
          <w:rFonts w:ascii="Consolas" w:cs="Consolas" w:eastAsia="Consolas" w:hAnsi="Consolas"/>
          <w:sz w:val="20"/>
          <w:szCs w:val="20"/>
        </w:rPr>
        <w:t xml:space="preserve">--allow-no-bump</w:t>
      </w:r>
      <w:r>
        <w:t xml:space="preserve">.</w:t>
      </w:r>
    </w:p>
    <w:p>
      <w:pPr>
        <w:pStyle w:val="ListParagraph"/>
        <w:numPr>
          <w:ilvl w:val="0"/>
          <w:numId w:val="2"/>
        </w:numPr>
        <w:spacing w:after="50" w:before="50" w:line="290"/>
        <w:jc w:val="both"/>
      </w:pPr>
      <w:r>
        <w:rPr>
          <w:b/>
          <w:bCs/>
        </w:rPr>
        <w:t xml:space="preserve">CLAUDE.md actualizado</w:t>
      </w:r>
      <w:r>
        <w:t xml:space="preserve"> para que ya no declare números de versión específicos. CLAUDE.md describe features, los archivos VERSION mantienen los números.</w:t>
      </w:r>
    </w:p>
    <w:p>
      <w:pPr>
        <w:spacing w:after="100" w:before="100" w:line="320"/>
        <w:jc w:val="both"/>
      </w:pPr>
      <w:r>
        <w:rPr>
          <w:i/>
          <w:iCs/>
        </w:rPr>
        <w:t xml:space="preserve">Nota operativa: cuando Sergio u otro desarrollador clonen el repositorio, necesitan ejecutar una vez </w:t>
      </w:r>
      <w:r>
        <w:rPr>
          <w:rFonts w:ascii="Consolas" w:cs="Consolas" w:eastAsia="Consolas" w:hAnsi="Consolas"/>
          <w:sz w:val="20"/>
          <w:szCs w:val="20"/>
        </w:rPr>
        <w:t xml:space="preserve">ln -sf ../../scripts/hooks/pre-commit .git/hooks/pre-commit</w:t>
      </w:r>
      <w:r>
        <w:rPr>
          <w:i/>
          <w:iCs/>
        </w:rPr>
        <w:t xml:space="preserve"> para instalar el hook localmente.</w:t>
      </w:r>
    </w:p>
    <w:p>
      <w:pPr>
        <w:pStyle w:val="Heading2"/>
        <w:spacing w:after="160" w:before="280"/>
      </w:pPr>
      <w:r>
        <w:rPr>
          <w:b/>
          <w:bCs/>
          <w:color w:val="1F3864"/>
          <w:sz w:val="24"/>
          <w:szCs w:val="24"/>
        </w:rPr>
        <w:t xml:space="preserve">4.3 Corrección de KPIs hardcodeados en el dashboard de aprendizaje</w:t>
      </w:r>
    </w:p>
    <w:p>
      <w:pPr>
        <w:spacing w:after="100" w:before="100" w:line="320"/>
        <w:jc w:val="both"/>
      </w:pPr>
      <w:r>
        <w:t xml:space="preserve">Durante el trabajo de la semana se detectó que la sección </w:t>
      </w:r>
      <w:r>
        <w:rPr>
          <w:rFonts w:ascii="Consolas" w:cs="Consolas" w:eastAsia="Consolas" w:hAnsi="Consolas"/>
          <w:sz w:val="20"/>
          <w:szCs w:val="20"/>
        </w:rPr>
        <w:t xml:space="preserve">/admin/aprendizaje</w:t>
      </w:r>
      <w:r>
        <w:t xml:space="preserve"> del dashboard mostraba valores hardcodeados que no correspondían con datos reales del sistema. El commit </w:t>
      </w:r>
      <w:r>
        <w:rPr>
          <w:rFonts w:ascii="Consolas" w:cs="Consolas" w:eastAsia="Consolas" w:hAnsi="Consolas"/>
          <w:sz w:val="20"/>
          <w:szCs w:val="20"/>
        </w:rPr>
        <w:t xml:space="preserve">ff046356</w:t>
      </w:r>
      <w:r>
        <w:t xml:space="preserve"> corrigió todos los valores. La tabla siguiente muestra el alcance del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left"/>
            </w:pPr>
            <w:r>
              <w:rPr>
                <w:b/>
                <w:bCs/>
                <w:sz w:val="18"/>
                <w:szCs w:val="18"/>
              </w:rPr>
              <w:t xml:space="preserve">Métrica</w:t>
            </w:r>
          </w:p>
        </w:tc>
        <w:tc>
          <w:tcPr>
            <w:tcW w:type="dxa" w:w="32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Valor anterior (fake)</w:t>
            </w:r>
          </w:p>
        </w:tc>
        <w:tc>
          <w:tcPr>
            <w:tcW w:type="dxa" w:w="336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vAlign w:val="center"/>
          </w:tcPr>
          <w:p>
            <w:pPr>
              <w:spacing w:after="30" w:before="30" w:line="240"/>
              <w:jc w:val="center"/>
            </w:pPr>
            <w:r>
              <w:rPr>
                <w:b/>
                <w:bCs/>
                <w:sz w:val="18"/>
                <w:szCs w:val="18"/>
              </w:rPr>
              <w:t xml:space="preserve">Valor real (corregido)</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Tasa de error inicial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8,5% (hardcoded)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44,7% (primer run real)</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Tasa de error actual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Issues/semana (mal definido)</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40,3% (media últimos 5 runs)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Total reglas creadas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activas + 50</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igual a activas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Gold Set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 entradas fake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vacío con mensaje honesto</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left"/>
            </w:pPr>
            <w:r>
              <w:rPr>
                <w:sz w:val="18"/>
                <w:szCs w:val="18"/>
              </w:rPr>
              <w:t xml:space="preserve">Timeline de reglas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3 entradas fake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before="30" w:line="240"/>
              <w:jc w:val="center"/>
            </w:pPr>
            <w:r>
              <w:rPr>
                <w:sz w:val="18"/>
                <w:szCs w:val="18"/>
              </w:rPr>
              <w:t xml:space="preserve">vacío con mensaje honesto</w:t>
            </w:r>
          </w:p>
        </w:tc>
      </w:tr>
    </w:tbl>
    <w:p>
      <w:pPr>
        <w:spacing w:after="20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36"/>
              <w:bottom w:val="single" w:color="C00000" w:sz="6"/>
              <w:right w:val="single" w:color="C00000" w:sz="6"/>
            </w:tcBorders>
            <w:shd w:fill="FCE4D6" w:val="clear"/>
            <w:tcMar>
              <w:top w:type="dxa" w:w="140"/>
              <w:left w:type="dxa" w:w="260"/>
              <w:bottom w:type="dxa" w:w="140"/>
              <w:right w:type="dxa" w:w="200"/>
            </w:tcMar>
          </w:tcPr>
          <w:p>
            <w:pPr>
              <w:spacing w:after="100" w:before="80"/>
            </w:pPr>
            <w:r>
              <w:rPr>
                <w:b/>
                <w:bCs/>
                <w:color w:val="1F3864"/>
                <w:sz w:val="22"/>
                <w:szCs w:val="22"/>
              </w:rPr>
              <w:t xml:space="preserve">El insight real que estaba oculto</w:t>
            </w:r>
          </w:p>
          <w:p>
            <w:pPr>
              <w:spacing w:after="60" w:before="60" w:line="300"/>
              <w:jc w:val="both"/>
            </w:pPr>
            <w:r>
              <w:rPr>
                <w:sz w:val="22"/>
                <w:szCs w:val="22"/>
              </w:rPr>
              <w:t xml:space="preserve">El dashboard mostraba "mejora desde inicio: −8,5%" comparando un valor fake con otro mal calculado. La métrica real revela que el sistema operó desde el inicio con 44,7% de errores escalados al LLM, y actualmente está en 40,3%. Esto significa una mejora real de 4,5 puntos porcentuales desde el inicio, no de 8,5 puntos. Más importante: el 40% de errores escalados confirma con datos lo que el informe largo sospechaba en la sección 8.2: el AutoCorrector detecta muchos errores pero resuelve muy pocos. La cifra real estaba oculta detrás del hardcodeo.</w:t>
            </w:r>
          </w:p>
        </w:tc>
      </w:tr>
    </w:tbl>
    <w:p>
      <w:pPr>
        <w:spacing w:after="220" w:before="0"/>
      </w:pPr>
      <w:r>
        <w:t xml:space="preserve"/>
      </w:r>
    </w:p>
    <w:p>
      <w:pPr>
        <w:pStyle w:val="Heading2"/>
        <w:spacing w:after="160" w:before="280"/>
      </w:pPr>
      <w:r>
        <w:rPr>
          <w:b/>
          <w:bCs/>
          <w:color w:val="1F3864"/>
          <w:sz w:val="24"/>
          <w:szCs w:val="24"/>
        </w:rPr>
        <w:t xml:space="preserve">4.4 Historial de corridas y filtro por source</w:t>
      </w:r>
    </w:p>
    <w:p>
      <w:pPr>
        <w:spacing w:after="100" w:before="100" w:line="320"/>
        <w:jc w:val="both"/>
      </w:pPr>
      <w:r>
        <w:t xml:space="preserve">Dos commits adicionales habilitaron capacidades nuevas en la UI de Cyn. El commit </w:t>
      </w:r>
      <w:r>
        <w:rPr>
          <w:rFonts w:ascii="Consolas" w:cs="Consolas" w:eastAsia="Consolas" w:hAnsi="Consolas"/>
          <w:sz w:val="20"/>
          <w:szCs w:val="20"/>
        </w:rPr>
        <w:t xml:space="preserve">ed7ea461</w:t>
      </w:r>
      <w:r>
        <w:t xml:space="preserve"> agregó una sección "Historial de corridas" en </w:t>
      </w:r>
      <w:r>
        <w:rPr>
          <w:rFonts w:ascii="Consolas" w:cs="Consolas" w:eastAsia="Consolas" w:hAnsi="Consolas"/>
          <w:sz w:val="20"/>
          <w:szCs w:val="20"/>
        </w:rPr>
        <w:t xml:space="preserve">/admin/aprendizaje</w:t>
      </w:r>
      <w:r>
        <w:t xml:space="preserve"> con 616 runs históricos filtrables por fecha y versión del matcher. El commit </w:t>
      </w:r>
      <w:r>
        <w:rPr>
          <w:rFonts w:ascii="Consolas" w:cs="Consolas" w:eastAsia="Consolas" w:hAnsi="Consolas"/>
          <w:sz w:val="20"/>
          <w:szCs w:val="20"/>
        </w:rPr>
        <w:t xml:space="preserve">61359c89</w:t>
      </w:r>
      <w:r>
        <w:t xml:space="preserve"> agregó un selector adicional por </w:t>
      </w:r>
      <w:r>
        <w:rPr>
          <w:rFonts w:ascii="Consolas" w:cs="Consolas" w:eastAsia="Consolas" w:hAnsi="Consolas"/>
          <w:sz w:val="20"/>
          <w:szCs w:val="20"/>
        </w:rPr>
        <w:t xml:space="preserve">source</w:t>
      </w:r>
      <w:r>
        <w:t xml:space="preserve">, con 73 categorías distintas pobladas mediante la migration 023 (col </w:t>
      </w:r>
      <w:r>
        <w:rPr>
          <w:rFonts w:ascii="Consolas" w:cs="Consolas" w:eastAsia="Consolas" w:hAnsi="Consolas"/>
          <w:sz w:val="20"/>
          <w:szCs w:val="20"/>
        </w:rPr>
        <w:t xml:space="preserve">source</w:t>
      </w:r>
      <w:r>
        <w:t xml:space="preserve"> + col </w:t>
      </w:r>
      <w:r>
        <w:rPr>
          <w:rFonts w:ascii="Consolas" w:cs="Consolas" w:eastAsia="Consolas" w:hAnsi="Consolas"/>
          <w:sz w:val="20"/>
          <w:szCs w:val="20"/>
        </w:rPr>
        <w:t xml:space="preserve">description</w:t>
      </w:r>
      <w:r>
        <w:t xml:space="preserve"> + dos índices).</w:t>
      </w:r>
    </w:p>
    <w:p>
      <w:pPr>
        <w:spacing w:after="100" w:before="100" w:line="320"/>
        <w:jc w:val="both"/>
      </w:pPr>
      <w:r>
        <w:t xml:space="preserve">La categoría más frecuente en el backfill es 'manual' con 536 runs (producción normal), seguida por 'experiment' con 5 y un conjunto largo de categorías pequeñas con prefijos 'fix_*', 'reapply_*', 'spec_*'. Esto permite a Cyn aislar runs de producción normal de los runs de fix puntuales o re-aplicaciones, mejorando significativamente la auditabilidad del sistema.</w:t>
      </w:r>
    </w:p>
    <w:p>
      <w:pPr>
        <w:pStyle w:val="Heading2"/>
        <w:spacing w:after="160" w:before="280"/>
      </w:pPr>
      <w:r>
        <w:rPr>
          <w:b/>
          <w:bCs/>
          <w:color w:val="1F3864"/>
          <w:sz w:val="24"/>
          <w:szCs w:val="24"/>
        </w:rPr>
        <w:t xml:space="preserve">4.5 Otros fixes</w:t>
      </w:r>
    </w:p>
    <w:p>
      <w:pPr>
        <w:spacing w:after="100" w:before="100" w:line="320"/>
        <w:jc w:val="both"/>
      </w:pPr>
      <w:r>
        <w:t xml:space="preserve">Tres commits adicionales fueron fixes técnicos puntuales. El </w:t>
      </w:r>
      <w:r>
        <w:rPr>
          <w:rFonts w:ascii="Consolas" w:cs="Consolas" w:eastAsia="Consolas" w:hAnsi="Consolas"/>
          <w:sz w:val="20"/>
          <w:szCs w:val="20"/>
        </w:rPr>
        <w:t xml:space="preserve">aa8ed8a9</w:t>
      </w:r>
      <w:r>
        <w:t xml:space="preserve"> del matching corrigió un bug latente desde abril que recortaba silenciosamente IDs cuando el límite era menor a la cantidad de ofertas solicitadas (recuperó 4 "ofertas zombies históricas"). El </w:t>
      </w:r>
      <w:r>
        <w:rPr>
          <w:rFonts w:ascii="Consolas" w:cs="Consolas" w:eastAsia="Consolas" w:hAnsi="Consolas"/>
          <w:sz w:val="20"/>
          <w:szCs w:val="20"/>
        </w:rPr>
        <w:t xml:space="preserve">5a223fcf</w:t>
      </w:r>
      <w:r>
        <w:t xml:space="preserve"> del NLP arregló bloqueos en la regla NV02 (lista de sectores) y un typo en la regla NV04 (semi_senior → semisenior). El </w:t>
      </w:r>
      <w:r>
        <w:rPr>
          <w:rFonts w:ascii="Consolas" w:cs="Consolas" w:eastAsia="Consolas" w:hAnsi="Consolas"/>
          <w:sz w:val="20"/>
          <w:szCs w:val="20"/>
        </w:rPr>
        <w:t xml:space="preserve">bc1b13f6</w:t>
      </w:r>
      <w:r>
        <w:t xml:space="preserve"> del sync VPS arregló una race condition que recuperó 1.760 ofertas huérfanas de ComputRabajo perdidas por el sync incremental.</w:t>
      </w:r>
    </w:p>
    <w:p>
      <w:pPr>
        <w:pStyle w:val="Heading1"/>
        <w:pageBreakBefore/>
        <w:spacing w:after="200" w:before="400"/>
      </w:pPr>
      <w:r>
        <w:rPr>
          <w:b/>
          <w:bCs/>
          <w:color w:val="1F3864"/>
          <w:sz w:val="30"/>
          <w:szCs w:val="30"/>
        </w:rPr>
        <w:t xml:space="preserve">5. Alertas, regresiones y deuda visible</w:t>
      </w:r>
    </w:p>
    <w:p>
      <w:pPr>
        <w:spacing w:after="100" w:before="100" w:line="320"/>
        <w:jc w:val="both"/>
      </w:pPr>
      <w:r>
        <w:rPr>
          <w:i/>
          <w:iCs/>
        </w:rPr>
        <w:t xml:space="preserve">Esta sección documenta lo que empeoró, lo que dejó de funcionar bien y lo que requiere atención. Su existencia es deliberada: un reporte que solo muestre avance es un reporte que oculta deuda. Para cada punto, intentamos dar la explicación más completa que pudimos reconstruir esta semana.</w:t>
      </w:r>
    </w:p>
    <w:p>
      <w:pPr>
        <w:pStyle w:val="Heading2"/>
        <w:spacing w:after="160" w:before="280"/>
      </w:pPr>
      <w:r>
        <w:rPr>
          <w:b/>
          <w:bCs/>
          <w:color w:val="1F3864"/>
          <w:sz w:val="24"/>
          <w:szCs w:val="24"/>
        </w:rPr>
        <w:t xml:space="preserve">5.1 Hallazgos graves detectados esta semana</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36"/>
              <w:bottom w:val="single" w:color="C00000" w:sz="6"/>
              <w:right w:val="single" w:color="C00000" w:sz="6"/>
            </w:tcBorders>
            <w:shd w:fill="FCE4D6" w:val="clear"/>
            <w:tcMar>
              <w:top w:type="dxa" w:w="140"/>
              <w:left w:type="dxa" w:w="260"/>
              <w:bottom w:type="dxa" w:w="140"/>
              <w:right w:type="dxa" w:w="200"/>
            </w:tcMar>
          </w:tcPr>
          <w:p>
            <w:pPr>
              <w:spacing w:after="100" w:before="80"/>
            </w:pPr>
            <w:r>
              <w:rPr>
                <w:b/>
                <w:bCs/>
                <w:color w:val="1F3864"/>
                <w:sz w:val="22"/>
                <w:szCs w:val="22"/>
              </w:rPr>
              <w:t xml:space="preserve">Hallazgo 1: KPIs de aprendizaje hardcodeados (corregido)</w:t>
            </w:r>
          </w:p>
          <w:p>
            <w:pPr>
              <w:spacing w:after="60" w:before="60" w:line="300"/>
              <w:jc w:val="both"/>
            </w:pPr>
            <w:r>
              <w:rPr>
                <w:sz w:val="22"/>
                <w:szCs w:val="22"/>
              </w:rPr>
              <w:t xml:space="preserve">El dashboard /admin/aprendizaje mostraba valores fake para todos sus indicadores principales (mejora del 8,5% hardcoded, gold set con 3 entradas inventadas, total de reglas mal calculado). Cualquier interpretación que el equipo haya hecho del progreso del sistema en los últimos meses estuvo basada en información incorrecta. El commit ff046356 corrigió todos los valores. La métrica real (40,3% de errores escalados al LLM, mejora del 4,5% desde inicio) sustituye a la métrica falsa y se convierte en el nuevo baseline para tracking semanal.</w:t>
            </w:r>
          </w:p>
        </w:tc>
      </w:tr>
    </w:tbl>
    <w:p>
      <w:pPr>
        <w:spacing w:after="22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36"/>
              <w:bottom w:val="single" w:color="C00000" w:sz="6"/>
              <w:right w:val="single" w:color="C00000" w:sz="6"/>
            </w:tcBorders>
            <w:shd w:fill="FCE4D6" w:val="clear"/>
            <w:tcMar>
              <w:top w:type="dxa" w:w="140"/>
              <w:left w:type="dxa" w:w="260"/>
              <w:bottom w:type="dxa" w:w="140"/>
              <w:right w:type="dxa" w:w="200"/>
            </w:tcMar>
          </w:tcPr>
          <w:p>
            <w:pPr>
              <w:spacing w:after="100" w:before="80"/>
            </w:pPr>
            <w:r>
              <w:rPr>
                <w:b/>
                <w:bCs/>
                <w:color w:val="1F3864"/>
                <w:sz w:val="22"/>
                <w:szCs w:val="22"/>
              </w:rPr>
              <w:t xml:space="preserve">Hallazgo 2: Caída de cobertura CLAE 18-20 pp inexplicada (abierto)</w:t>
            </w:r>
          </w:p>
          <w:p>
            <w:pPr>
              <w:spacing w:after="60" w:before="60" w:line="300"/>
              <w:jc w:val="both"/>
            </w:pPr>
            <w:r>
              <w:rPr>
                <w:sz w:val="22"/>
                <w:szCs w:val="22"/>
              </w:rPr>
              <w:t xml:space="preserve">La cobertura CLAE cayó entre 14 y 28 puntos porcentuales en TODOS los portales esta semana, no solo en Indeed. Bumeran (caída de 28,6 pp desde un baseline de 96,7%) es el caso más extremo. Hipótesis inicial ("mix Indeed") fue refutada por los datos. Hay 18-20 pp de caída sistemática que no se explican por composición. Tres hipótesis a investigar: backlog con ofertas pre-clasificador, regresión silenciosa del módulo CLAE, o cambio en criterio de scoring. Esta es la primera tarea técnica del plan de la próxima semana (sección 6.2).</w:t>
            </w:r>
          </w:p>
        </w:tc>
      </w:tr>
    </w:tbl>
    <w:p>
      <w:pPr>
        <w:spacing w:after="220" w:before="0"/>
      </w:pPr>
      <w:r>
        <w:t xml:space="preserve"/>
      </w:r>
    </w:p>
    <w:p>
      <w:pPr>
        <w:pStyle w:val="Heading2"/>
        <w:spacing w:after="160" w:before="280"/>
      </w:pPr>
      <w:r>
        <w:rPr>
          <w:b/>
          <w:bCs/>
          <w:color w:val="1F3864"/>
          <w:sz w:val="24"/>
          <w:szCs w:val="24"/>
        </w:rPr>
        <w:t xml:space="preserve">5.2 Decisiones de diseño consolidadas que se confirmaron esta semana</w:t>
      </w:r>
    </w:p>
    <w:p>
      <w:pPr>
        <w:spacing w:after="100" w:before="100" w:line="320"/>
        <w:jc w:val="both"/>
      </w:pPr>
      <w:r>
        <w:t xml:space="preserve">Como se mencionó en la sección 2.6, varios puntos que en una primera lectura parecían "deuda visible" resultaron ser decisiones de diseño consolidadas hace meses, mal documentadas. Las confirmamos esta semana y las mencionamos aquí para que el equipo tenga la versión correcta. Lo que falta en cada caso es trabajo de documentación, no de código.</w:t>
      </w:r>
    </w:p>
    <w:p>
      <w:pPr>
        <w:pStyle w:val="Heading3"/>
        <w:spacing w:after="120" w:before="220"/>
      </w:pPr>
      <w:r>
        <w:rPr>
          <w:b/>
          <w:bCs/>
          <w:color w:val="2E75B6"/>
          <w:sz w:val="22"/>
          <w:szCs w:val="22"/>
        </w:rPr>
        <w:t xml:space="preserve">8 columnas de score no se poblan: discontinuación intencional de enero 2026</w:t>
      </w:r>
    </w:p>
    <w:p>
      <w:pPr>
        <w:spacing w:after="100" w:before="100" w:line="320"/>
        <w:jc w:val="both"/>
      </w:pPr>
      <w:r>
        <w:t xml:space="preserve">El matcher v3 (vigente desde el 15-ene-2026, commit </w:t>
      </w:r>
      <w:r>
        <w:rPr>
          <w:rFonts w:ascii="Consolas" w:cs="Consolas" w:eastAsia="Consolas" w:hAnsi="Consolas"/>
          <w:sz w:val="20"/>
          <w:szCs w:val="20"/>
        </w:rPr>
        <w:t xml:space="preserve">3d3b7807</w:t>
      </w:r>
      <w:r>
        <w:t xml:space="preserve">) usa un score agregado único por matching, no el desglose detallado de 8 columnas que usaba v2. Las columnas existen en el schema pero nunca son escritas. Esto NO es bug y NO es discontinuación reciente: es comportamiento desde enero. La confusión se generó porque la documentación interna (</w:t>
      </w:r>
      <w:r>
        <w:rPr>
          <w:rFonts w:ascii="Consolas" w:cs="Consolas" w:eastAsia="Consolas" w:hAnsi="Consolas"/>
          <w:sz w:val="20"/>
          <w:szCs w:val="20"/>
        </w:rPr>
        <w:t xml:space="preserve">DICCIONARIO_DATOS_DASHBOARD.md</w:t>
      </w:r>
      <w:r>
        <w:t xml:space="preserve"> y </w:t>
      </w:r>
      <w:r>
        <w:rPr>
          <w:rFonts w:ascii="Consolas" w:cs="Consolas" w:eastAsia="Consolas" w:hAnsi="Consolas"/>
          <w:sz w:val="20"/>
          <w:szCs w:val="20"/>
        </w:rPr>
        <w:t xml:space="preserve">ARQUITECTURA_BD_MOL.md</w:t>
      </w:r>
      <w:r>
        <w:t xml:space="preserve">) sigue listando las columnas como si estuvieran pobladas. Tarea: actualizar esa documentación.</w:t>
      </w:r>
    </w:p>
    <w:p>
      <w:pPr>
        <w:pStyle w:val="Heading3"/>
        <w:spacing w:after="120" w:before="220"/>
      </w:pPr>
      <w:r>
        <w:rPr>
          <w:b/>
          <w:bCs/>
          <w:color w:val="2E75B6"/>
          <w:sz w:val="22"/>
          <w:szCs w:val="22"/>
        </w:rPr>
        <w:t xml:space="preserve">isco_nivel1 nunca fue parte del pipeline v3</w:t>
      </w:r>
    </w:p>
    <w:p>
      <w:pPr>
        <w:spacing w:after="100" w:before="100" w:line="320"/>
        <w:jc w:val="both"/>
      </w:pPr>
      <w:r>
        <w:t xml:space="preserve">La columna existe pero nunca fue mantenida por el pipeline v3 (sólo aparece como target de UPDATE en un script puntual archivado). El valor se deriva on-the-fly con </w:t>
      </w:r>
      <w:r>
        <w:rPr>
          <w:rFonts w:ascii="Consolas" w:cs="Consolas" w:eastAsia="Consolas" w:hAnsi="Consolas"/>
          <w:sz w:val="20"/>
          <w:szCs w:val="20"/>
        </w:rPr>
        <w:t xml:space="preserve">SUBSTR(isco_code, 1, 1)</w:t>
      </w:r>
      <w:r>
        <w:t xml:space="preserve"> cuando se necesita. Tarea: dropear de schema o documentar formalmente como "computed in-query, not stored".</w:t>
      </w:r>
    </w:p>
    <w:p>
      <w:pPr>
        <w:pStyle w:val="Heading3"/>
        <w:spacing w:after="120" w:before="220"/>
      </w:pPr>
      <w:r>
        <w:rPr>
          <w:b/>
          <w:bCs/>
          <w:color w:val="2E75B6"/>
          <w:sz w:val="22"/>
          <w:szCs w:val="22"/>
        </w:rPr>
        <w:t xml:space="preserve">ofertas_skills_norm: tabla zombie ya documentada</w:t>
      </w:r>
    </w:p>
    <w:p>
      <w:pPr>
        <w:spacing w:after="100" w:before="100" w:line="320"/>
        <w:jc w:val="both"/>
      </w:pPr>
      <w:r>
        <w:t xml:space="preserve">La tabla está congelada desde el 3-feb-2026 y ya está declarada formalmente como "ZOMBIE" en los diagnósticos internos del 4-may. Fue reemplazada por </w:t>
      </w:r>
      <w:r>
        <w:rPr>
          <w:rFonts w:ascii="Consolas" w:cs="Consolas" w:eastAsia="Consolas" w:hAnsi="Consolas"/>
          <w:sz w:val="20"/>
          <w:szCs w:val="20"/>
        </w:rPr>
        <w:t xml:space="preserve">ofertas_esco_skills_detalle</w:t>
      </w:r>
      <w:r>
        <w:t xml:space="preserve"> (1.569.227 filas vs 12.304, con URIs canónicas). Ningún componente del dashboard o del pipeline activo la consume. Tarea: migration 024 para archivarla formalmente o renombrarla.</w:t>
      </w:r>
    </w:p>
    <w:p>
      <w:pPr>
        <w:pStyle w:val="Heading3"/>
        <w:spacing w:after="120" w:before="220"/>
      </w:pPr>
      <w:r>
        <w:rPr>
          <w:b/>
          <w:bCs/>
          <w:color w:val="2E75B6"/>
          <w:sz w:val="22"/>
          <w:szCs w:val="22"/>
        </w:rPr>
        <w:t xml:space="preserve">learning_history funciona, pero falta el hook que la llame</w:t>
      </w:r>
    </w:p>
    <w:p>
      <w:pPr>
        <w:spacing w:after="100" w:before="100" w:line="320"/>
        <w:jc w:val="both"/>
      </w:pPr>
      <w:r>
        <w:t xml:space="preserve">La tabla SÍ está diseñada para registrar cambios de configuración del sistema (cambios de reglas, sinónimos, etc.) — el schema lo declara explícitamente. Lo que falta es que ningún script llama al método </w:t>
      </w:r>
      <w:r>
        <w:rPr>
          <w:rFonts w:ascii="Consolas" w:cs="Consolas" w:eastAsia="Consolas" w:hAnsi="Consolas"/>
          <w:sz w:val="20"/>
          <w:szCs w:val="20"/>
        </w:rPr>
        <w:t xml:space="preserve">log_learning_event()</w:t>
      </w:r>
      <w:r>
        <w:t xml:space="preserve"> cuando se modifica una regla. El único caso de uso actual es "run_completado". Tarea: agregar el hook en los scripts de correcciones y en los endpoints de edición de configs. Esfuerzo bajo, valor alto para trazabilidad futura.</w:t>
      </w:r>
    </w:p>
    <w:p>
      <w:pPr>
        <w:pStyle w:val="Heading2"/>
        <w:spacing w:after="160" w:before="280"/>
      </w:pPr>
      <w:r>
        <w:rPr>
          <w:b/>
          <w:bCs/>
          <w:color w:val="1F3864"/>
          <w:sz w:val="24"/>
          <w:szCs w:val="24"/>
        </w:rPr>
        <w:t xml:space="preserve">5.3 La métrica del AutoCorrector</w:t>
      </w:r>
    </w:p>
    <w:p>
      <w:pPr>
        <w:spacing w:after="100" w:before="100" w:line="320"/>
        <w:jc w:val="both"/>
      </w:pPr>
      <w:r>
        <w:t xml:space="preserve">La caída aparente de 0,63% a 0,07% es un artefacto de cálculo, no una regresión real del componente. La explicación completa está en la sección 2.5. Brevemente: el baseline se calculó sobre corpus acumulado y la cifra de esta semana sobre cohorte. Como el 80,6% de la cohorte es backlog, sus correcciones están contabilizadas en sus semanas originales, no en esta.</w:t>
      </w:r>
    </w:p>
    <w:p>
      <w:pPr>
        <w:spacing w:after="100" w:before="100" w:line="320"/>
        <w:jc w:val="both"/>
      </w:pPr>
      <w:r>
        <w:t xml:space="preserve">Hay un punto adicional importante que se aprendió esta semana: de los 42 tipos de diagnóstico del AutoCorrector, solo 6 disparan corrección automática. El techo teórico del componente es alrededor del 14%, no 100%. La métrica de "tasa de corrección efectiva" tal como está formulada subestima sistemáticamente el comportamiento del componente. La propuesta es redefinirla como "% corregidos sobre no-escalados a Claude", que es la pregunta operativa relevante. Quedó como tarea de la próxima semana.</w:t>
      </w:r>
    </w:p>
    <w:p>
      <w:pPr>
        <w:pStyle w:val="Heading2"/>
        <w:spacing w:after="160" w:before="280"/>
      </w:pPr>
      <w:r>
        <w:rPr>
          <w:b/>
          <w:bCs/>
          <w:color w:val="1F3864"/>
          <w:sz w:val="24"/>
          <w:szCs w:val="24"/>
        </w:rPr>
        <w:t xml:space="preserve">5.4 Las 1.496 ofertas huérfanas: causa identificada</w:t>
      </w:r>
    </w:p>
    <w:p>
      <w:pPr>
        <w:spacing w:after="100" w:before="100" w:line="320"/>
        <w:jc w:val="both"/>
      </w:pPr>
      <w:r>
        <w:t xml:space="preserve">La semana detectó 1.496 ofertas con NLP completo pero sin entrada en la tabla de matching. La causa es operativa concreta y conocida: las ofertas no quedaron en </w:t>
      </w:r>
      <w:r>
        <w:rPr>
          <w:rFonts w:ascii="Consolas" w:cs="Consolas" w:eastAsia="Consolas" w:hAnsi="Consolas"/>
          <w:sz w:val="20"/>
          <w:szCs w:val="20"/>
        </w:rPr>
        <w:t xml:space="preserve">ofertas_prioridad</w:t>
      </w:r>
      <w:r>
        <w:t xml:space="preserve"> (la cola que el matcher procesa), por lo que el matcher no las vio. Esto pasa cuando el NLP corre fuera del orquestador estándar (por ejemplo, un batch suelto, o un sync del VPS sin refrescar prioridades) y no se llama a </w:t>
      </w:r>
      <w:r>
        <w:rPr>
          <w:rFonts w:ascii="Consolas" w:cs="Consolas" w:eastAsia="Consolas" w:hAnsi="Consolas"/>
          <w:sz w:val="20"/>
          <w:szCs w:val="20"/>
        </w:rPr>
        <w:t xml:space="preserve">refresh_priorities</w:t>
      </w:r>
      <w:r>
        <w:t xml:space="preserve"> al final. Es un patrón conocido del proyecto: existe la memoria interna </w:t>
      </w:r>
      <w:r>
        <w:rPr>
          <w:rFonts w:ascii="Consolas" w:cs="Consolas" w:eastAsia="Consolas" w:hAnsi="Consolas"/>
          <w:sz w:val="20"/>
          <w:szCs w:val="20"/>
        </w:rPr>
        <w:t xml:space="preserve">feedback_pipeline_zombi_offers.md</w:t>
      </w:r>
      <w:r>
        <w:t xml:space="preserve"> que lo documenta.</w:t>
      </w:r>
    </w:p>
    <w:p>
      <w:pPr>
        <w:spacing w:after="100" w:before="100" w:line="320"/>
        <w:jc w:val="both"/>
      </w:pPr>
      <w:r>
        <w:t xml:space="preserve">Acción concreta y rápida: ejecutar </w:t>
      </w:r>
      <w:r>
        <w:rPr>
          <w:rFonts w:ascii="Consolas" w:cs="Consolas" w:eastAsia="Consolas" w:hAnsi="Consolas"/>
          <w:sz w:val="20"/>
          <w:szCs w:val="20"/>
        </w:rPr>
        <w:t xml:space="preserve">refresh_priorities</w:t>
      </w:r>
      <w:r>
        <w:t xml:space="preserve"> y las 1.496 entran a la cola para procesarse en la próxima corrida. Acción preventiva: agregar un hook al final del proceso NLP que llame automáticamente a </w:t>
      </w:r>
      <w:r>
        <w:rPr>
          <w:rFonts w:ascii="Consolas" w:cs="Consolas" w:eastAsia="Consolas" w:hAnsi="Consolas"/>
          <w:sz w:val="20"/>
          <w:szCs w:val="20"/>
        </w:rPr>
        <w:t xml:space="preserve">refresh_priorities</w:t>
      </w:r>
      <w:r>
        <w:t xml:space="preserve">. Ambas tareas son cortas y van al plan de la próxima semana.</w:t>
      </w:r>
    </w:p>
    <w:p>
      <w:pPr>
        <w:pStyle w:val="Heading2"/>
        <w:spacing w:after="160" w:before="280"/>
      </w:pPr>
      <w:r>
        <w:rPr>
          <w:b/>
          <w:bCs/>
          <w:color w:val="1F3864"/>
          <w:sz w:val="24"/>
          <w:szCs w:val="24"/>
        </w:rPr>
        <w:t xml:space="preserve">5.5 Validación humana: el flujo funciona, lo que estaba mal era nuestra lectura</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6"/>
              <w:left w:val="single" w:color="548235" w:sz="36"/>
              <w:bottom w:val="single" w:color="548235" w:sz="6"/>
              <w:right w:val="single" w:color="548235" w:sz="6"/>
            </w:tcBorders>
            <w:shd w:fill="E2EFDA" w:val="clear"/>
            <w:tcMar>
              <w:top w:type="dxa" w:w="140"/>
              <w:left w:type="dxa" w:w="260"/>
              <w:bottom w:type="dxa" w:w="140"/>
              <w:right w:type="dxa" w:w="200"/>
            </w:tcMar>
          </w:tcPr>
          <w:p>
            <w:pPr>
              <w:spacing w:after="100" w:before="80"/>
            </w:pPr>
            <w:r>
              <w:rPr>
                <w:b/>
                <w:bCs/>
                <w:color w:val="1F3864"/>
                <w:sz w:val="22"/>
                <w:szCs w:val="22"/>
              </w:rPr>
              <w:t xml:space="preserve">Corrección importante respecto a observaciones previas</w:t>
            </w:r>
          </w:p>
          <w:p>
            <w:pPr>
              <w:spacing w:after="60" w:before="60" w:line="300"/>
              <w:jc w:val="both"/>
            </w:pPr>
            <w:r>
              <w:rPr>
                <w:sz w:val="22"/>
                <w:szCs w:val="22"/>
              </w:rPr>
              <w:t xml:space="preserve">Una lectura inicial de los datos sugería que Cyn había creado issues pero ninguna oferta estaba en estado final. La realidad es la opuesta: hay 230 ofertas con validación humana registrada en Supabase (no 10), con notas detalladas multi-párrafo. El flujo de Cyn está funcionando bien. La confusión surgió porque la validación humana real vive en Supabase ofertas_dashboard.validacion_humana_*, no en la tabla validacion_humana de SQLite local (que está vacía y no se usa).</w:t>
            </w:r>
          </w:p>
        </w:tc>
      </w:tr>
    </w:tbl>
    <w:p>
      <w:pPr>
        <w:spacing w:after="220" w:before="0"/>
      </w:pPr>
      <w:r>
        <w:t xml:space="preserve"/>
      </w:r>
    </w:p>
    <w:p>
      <w:pPr>
        <w:spacing w:after="100" w:before="100" w:line="320"/>
        <w:jc w:val="both"/>
      </w:pPr>
      <w:r>
        <w:t xml:space="preserve">El sistema de issues y el sistema de validación humana son flujos paralelos vinculados por convención, no por foreign key. Los issues son comentarios estructurados sobre ofertas (incluyendo alertas automáticas del validator y comentarios humanos de Cyn). El estado de validación humana es independiente. Que Cyn deje 3 issues sobre una oferta no significa que esa oferta deba pasar a estado validado: son cosas separadas y eso es por diseño.</w:t>
      </w:r>
    </w:p>
    <w:p>
      <w:pPr>
        <w:spacing w:after="100" w:before="100" w:line="320"/>
        <w:jc w:val="both"/>
      </w:pPr>
      <w:r>
        <w:t xml:space="preserve">Una observación adicional importante: de los 431.158 issues totales en Supabase, 430.388 (99,8%) son creados por auto-validator@mol.gob.ar — son alertas automáticas, no comentarios humanos. Solo 663 son comentarios reales de Cyn y 11 de Gerardo. Esta proporción sugiere que la tabla de issues está siendo usada como buffer de alertas automáticas más que como sistema de comentarios humanos. Es candidato a separar en dos tablas distintas en algún futuro refactor, pero no es prioridad.</w:t>
      </w:r>
    </w:p>
    <w:p>
      <w:pPr>
        <w:pStyle w:val="Heading2"/>
        <w:spacing w:after="160" w:before="280"/>
      </w:pPr>
      <w:r>
        <w:rPr>
          <w:b/>
          <w:bCs/>
          <w:color w:val="1F3864"/>
          <w:sz w:val="24"/>
          <w:szCs w:val="24"/>
        </w:rPr>
        <w:t xml:space="preserve">5.6 Estado del Gold Set</w:t>
      </w:r>
    </w:p>
    <w:p>
      <w:pPr>
        <w:spacing w:after="100" w:before="100" w:line="320"/>
        <w:jc w:val="both"/>
      </w:pPr>
      <w:r>
        <w:t xml:space="preserve">El Gold Set sigue sin medirse hace más de 12 semanas. La última corrida documentada en pipeline_runs con source que contiene 'gold' es del 14 de enero de 2026. El baseline declarado en el informe largo (24 de febrero) corresponde a 83 días sin medir. La reactivación del Gold Set sigue siendo la prioridad técnica más urgente del proyecto y está en el plan de la próxima semana como tarea de definición inicial.</w:t>
      </w:r>
    </w:p>
    <w:p>
      <w:pPr>
        <w:pStyle w:val="Heading2"/>
        <w:spacing w:after="160" w:before="280"/>
      </w:pPr>
      <w:r>
        <w:rPr>
          <w:b/>
          <w:bCs/>
          <w:color w:val="1F3864"/>
          <w:sz w:val="24"/>
          <w:szCs w:val="24"/>
        </w:rPr>
        <w:t xml:space="preserve">5.7 Otras observaciones menores</w:t>
      </w:r>
    </w:p>
    <w:p>
      <w:pPr>
        <w:pStyle w:val="ListParagraph"/>
        <w:numPr>
          <w:ilvl w:val="0"/>
          <w:numId w:val="2"/>
        </w:numPr>
        <w:spacing w:after="50" w:before="50" w:line="290"/>
        <w:jc w:val="both"/>
      </w:pPr>
      <w:r>
        <w:rPr>
          <w:b/>
          <w:bCs/>
        </w:rPr>
        <w:t xml:space="preserve">47 ofertas con modalidad=remoto + ocupación operativa o elemental</w:t>
      </w:r>
      <w:r>
        <w:t xml:space="preserve">. Incluye "trabajador de fábrica remoto" (8 casos), "mozo de almacén remoto" (7) y "conductor de reparto remoto" (4). Son errores del extractor NLP de modalidad. La regla cross-field que detectaría esto no existe pero es técnicamente viable: agregarla en </w:t>
      </w:r>
      <w:r>
        <w:rPr>
          <w:rFonts w:ascii="Consolas" w:cs="Consolas" w:eastAsia="Consolas" w:hAnsi="Consolas"/>
          <w:sz w:val="20"/>
          <w:szCs w:val="20"/>
        </w:rPr>
        <w:t xml:space="preserve">config/validation_rules.json</w:t>
      </w:r>
      <w:r>
        <w:t xml:space="preserve"> como condición múltiple </w:t>
      </w:r>
      <w:r>
        <w:rPr>
          <w:rFonts w:ascii="Consolas" w:cs="Consolas" w:eastAsia="Consolas" w:hAnsi="Consolas"/>
          <w:sz w:val="20"/>
          <w:szCs w:val="20"/>
        </w:rPr>
        <w:t xml:space="preserve">modalidad=remoto</w:t>
      </w:r>
      <w:r>
        <w:t xml:space="preserve"> + </w:t>
      </w:r>
      <w:r>
        <w:rPr>
          <w:rFonts w:ascii="Consolas" w:cs="Consolas" w:eastAsia="Consolas" w:hAnsi="Consolas"/>
          <w:sz w:val="20"/>
          <w:szCs w:val="20"/>
        </w:rPr>
        <w:t xml:space="preserve">isco_code matches ^[789]</w:t>
      </w:r>
      <w:r>
        <w:t xml:space="preserve">. El motor de reglas ya soporta esta sintaxis (V30 es ejemplo análogo).</w:t>
      </w:r>
    </w:p>
    <w:p>
      <w:pPr>
        <w:pStyle w:val="ListParagraph"/>
        <w:numPr>
          <w:ilvl w:val="0"/>
          <w:numId w:val="2"/>
        </w:numPr>
        <w:spacing w:after="50" w:before="50" w:line="290"/>
        <w:jc w:val="both"/>
      </w:pPr>
      <w:r>
        <w:rPr>
          <w:b/>
          <w:bCs/>
        </w:rPr>
        <w:t xml:space="preserve">Documentación de versiones todavía con desincronización parcial</w:t>
      </w:r>
      <w:r>
        <w:t xml:space="preserve">. El commit </w:t>
      </w:r>
      <w:r>
        <w:rPr>
          <w:rFonts w:ascii="Consolas" w:cs="Consolas" w:eastAsia="Consolas" w:hAnsi="Consolas"/>
          <w:sz w:val="20"/>
          <w:szCs w:val="20"/>
        </w:rPr>
        <w:t xml:space="preserve">25cd4423</w:t>
      </w:r>
      <w:r>
        <w:t xml:space="preserve"> alineó el docstring y el atributo de clase, pero los comentarios </w:t>
      </w:r>
      <w:r>
        <w:rPr>
          <w:rFonts w:ascii="Consolas" w:cs="Consolas" w:eastAsia="Consolas" w:hAnsi="Consolas"/>
          <w:sz w:val="20"/>
          <w:szCs w:val="20"/>
        </w:rPr>
        <w:t xml:space="preserve"># v11.4:</w:t>
      </w:r>
      <w:r>
        <w:t xml:space="preserve"> y </w:t>
      </w:r>
      <w:r>
        <w:rPr>
          <w:rFonts w:ascii="Consolas" w:cs="Consolas" w:eastAsia="Consolas" w:hAnsi="Consolas"/>
          <w:sz w:val="20"/>
          <w:szCs w:val="20"/>
        </w:rPr>
        <w:t xml:space="preserve"># v3.5.4:</w:t>
      </w:r>
      <w:r>
        <w:t xml:space="preserve"> dispersos en el código siguen referenciando versiones que nunca existieron como string. Trabajo de limpieza menor, no urgente.</w:t>
      </w:r>
    </w:p>
    <w:p>
      <w:pPr>
        <w:pStyle w:val="Heading1"/>
        <w:pageBreakBefore/>
        <w:spacing w:after="200" w:before="400"/>
      </w:pPr>
      <w:r>
        <w:rPr>
          <w:b/>
          <w:bCs/>
          <w:color w:val="1F3864"/>
          <w:sz w:val="30"/>
          <w:szCs w:val="30"/>
        </w:rPr>
        <w:t xml:space="preserve">6. Decisiones tomadas y plan de la próxima semana</w:t>
      </w:r>
    </w:p>
    <w:p>
      <w:pPr>
        <w:pStyle w:val="Heading2"/>
        <w:spacing w:after="160" w:before="280"/>
      </w:pPr>
      <w:r>
        <w:rPr>
          <w:b/>
          <w:bCs/>
          <w:color w:val="1F3864"/>
          <w:sz w:val="24"/>
          <w:szCs w:val="24"/>
        </w:rPr>
        <w:t xml:space="preserve">6.1 Decisiones cerradas esta semana</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6"/>
              <w:left w:val="single" w:color="548235" w:sz="36"/>
              <w:bottom w:val="single" w:color="548235" w:sz="6"/>
              <w:right w:val="single" w:color="548235" w:sz="6"/>
            </w:tcBorders>
            <w:shd w:fill="E2EFDA" w:val="clear"/>
            <w:tcMar>
              <w:top w:type="dxa" w:w="140"/>
              <w:left w:type="dxa" w:w="260"/>
              <w:bottom w:type="dxa" w:w="140"/>
              <w:right w:type="dxa" w:w="200"/>
            </w:tcMar>
          </w:tcPr>
          <w:p>
            <w:pPr>
              <w:spacing w:after="100" w:before="80"/>
            </w:pPr>
            <w:r>
              <w:rPr>
                <w:b/>
                <w:bCs/>
                <w:color w:val="1F3864"/>
                <w:sz w:val="22"/>
                <w:szCs w:val="22"/>
              </w:rPr>
              <w:t xml:space="preserve">Drift de versionado: decisión ejecutada</w:t>
            </w:r>
          </w:p>
          <w:p>
            <w:pPr>
              <w:spacing w:after="60" w:before="60" w:line="300"/>
              <w:jc w:val="both"/>
            </w:pPr>
            <w:r>
              <w:rPr>
                <w:sz w:val="22"/>
                <w:szCs w:val="22"/>
              </w:rPr>
              <w:t xml:space="preserve">El problema de versiones discrepantes entre código, documentación y base de datos quedó cerrado. La decisión incluyó seis componentes: (1) versión actual NLP 11.3.1 y Matcher 3.5.5; (2) backfill retroactivo en dos ventanas según fecha de commit; (3) archivos planos database/NLP_VERSION y database/MATCHER_VERSION como única fuente de verdad; (4) CLAUDE.md describe features sin versiones; (5) pre-commit hook que valida bumps automáticos; (6) política de bump por cambio de comportamiento algorítmico, no por fix de typos. El sistema queda estructuralmente protegido contra recurrencia del problema.</w:t>
            </w:r>
          </w:p>
        </w:tc>
      </w:tr>
    </w:tbl>
    <w:p>
      <w:pPr>
        <w:spacing w:after="220" w:before="0"/>
      </w:pPr>
      <w:r>
        <w:t xml:space="preserve"/>
      </w:r>
    </w:p>
    <w:p>
      <w:pPr>
        <w:pStyle w:val="Heading2"/>
        <w:spacing w:after="160" w:before="280"/>
      </w:pPr>
      <w:r>
        <w:rPr>
          <w:b/>
          <w:bCs/>
          <w:color w:val="1F3864"/>
          <w:sz w:val="24"/>
          <w:szCs w:val="24"/>
        </w:rPr>
        <w:t xml:space="preserve">6.2 Plan para la próxima semana</w:t>
      </w:r>
    </w:p>
    <w:p>
      <w:pPr>
        <w:spacing w:after="100" w:before="100" w:line="320"/>
        <w:jc w:val="both"/>
      </w:pPr>
      <w:r>
        <w:t xml:space="preserve">Seis tareas concretas con prioridad asignada para el período del 19 al 25 de mayo:</w:t>
      </w:r>
    </w:p>
    <w:p>
      <w:pPr>
        <w:pStyle w:val="ListParagraph"/>
        <w:numPr>
          <w:ilvl w:val="0"/>
          <w:numId w:val="2"/>
        </w:numPr>
        <w:spacing w:after="50" w:before="50" w:line="290"/>
        <w:jc w:val="both"/>
      </w:pPr>
      <w:r>
        <w:rPr>
          <w:b/>
          <w:bCs/>
        </w:rPr>
        <w:t xml:space="preserve">Investigar la caída de cobertura CLAE</w:t>
      </w:r>
      <w:r>
        <w:t xml:space="preserve"> (alta prioridad). La cobertura cayó 18-20 puntos porcentuales sin explicación por mix de portales. Tres hipótesis a evaluar: (a) el backlog procesado contiene ofertas pre-clasificador, (b) regresión silenciosa del módulo CLAE, (c) cambio en criterio de scoring que devuelve más NULL. Es la primera tarea técnica del lote.</w:t>
      </w:r>
    </w:p>
    <w:p>
      <w:pPr>
        <w:pStyle w:val="ListParagraph"/>
        <w:numPr>
          <w:ilvl w:val="0"/>
          <w:numId w:val="2"/>
        </w:numPr>
        <w:spacing w:after="50" w:before="50" w:line="290"/>
        <w:jc w:val="both"/>
      </w:pPr>
      <w:r>
        <w:rPr>
          <w:b/>
          <w:bCs/>
        </w:rPr>
        <w:t xml:space="preserve">Ejecutar refresh_priorities sobre las 1.496 ofertas huérfanas</w:t>
      </w:r>
      <w:r>
        <w:t xml:space="preserve"> (alta prioridad, esfuerzo bajo). Es una acción operativa de pocos minutos que sanea las ofertas que quedaron fuera de la cola de matching. Como medida preventiva, agregar un hook al final del proceso NLP que llame automáticamente a refresh_priorities para evitar recurrencia.</w:t>
      </w:r>
    </w:p>
    <w:p>
      <w:pPr>
        <w:pStyle w:val="ListParagraph"/>
        <w:numPr>
          <w:ilvl w:val="0"/>
          <w:numId w:val="2"/>
        </w:numPr>
        <w:spacing w:after="50" w:before="50" w:line="290"/>
        <w:jc w:val="both"/>
      </w:pPr>
      <w:r>
        <w:rPr>
          <w:b/>
          <w:bCs/>
        </w:rPr>
        <w:t xml:space="preserve">Redefinir la métrica del AutoCorrector</w:t>
      </w:r>
      <w:r>
        <w:t xml:space="preserve"> (prioridad media). La métrica actual (tasa de corrección efectiva como corregidos / total de errores) subestima sistemáticamente porque solo 6 de 42 diagnósticos disparan corrección automática. Propuesta concreta: medir como "% corregidos sobre no-escalados a Claude". Una vez redefinida, recalcular el baseline.</w:t>
      </w:r>
    </w:p>
    <w:p>
      <w:pPr>
        <w:pStyle w:val="ListParagraph"/>
        <w:numPr>
          <w:ilvl w:val="0"/>
          <w:numId w:val="2"/>
        </w:numPr>
        <w:spacing w:after="50" w:before="50" w:line="290"/>
        <w:jc w:val="both"/>
      </w:pPr>
      <w:r>
        <w:rPr>
          <w:b/>
          <w:bCs/>
        </w:rPr>
        <w:t xml:space="preserve">Alinear documentación de columnas score</w:t>
      </w:r>
      <w:r>
        <w:t xml:space="preserve"> (prioridad media, esfuerzo bajo). DICCIONARIO_DATOS_DASHBOARD.md y ARQUITECTURA_BD_MOL.md siguen listando 8 columnas de score como si estuvieran pobladas, pero estas no se escriben desde el 15-ene-2026. Actualizar la documentación para reflejar el comportamiento real del pipeline v3.</w:t>
      </w:r>
    </w:p>
    <w:p>
      <w:pPr>
        <w:pStyle w:val="ListParagraph"/>
        <w:numPr>
          <w:ilvl w:val="0"/>
          <w:numId w:val="2"/>
        </w:numPr>
        <w:spacing w:after="50" w:before="50" w:line="290"/>
        <w:jc w:val="both"/>
      </w:pPr>
      <w:r>
        <w:rPr>
          <w:b/>
          <w:bCs/>
        </w:rPr>
        <w:t xml:space="preserve">Definir el Gold Set chico para tracking semanal</w:t>
      </w:r>
      <w:r>
        <w:t xml:space="preserve"> (prioridad media). El Gold Set lleva más de 12 semanas sin medir, lo que es la prioridad técnica más urgente del proyecto. Propuesta: definir un Gold Set pequeño de 10-20 ofertas rotativas validadas humanamente que pueda correrse en cada batch nuevo. No tiene la robustez estadística de un Gold Set grande pero cumple su función operativa de detectar regresiones rápido. Es la base para crecerlo después.</w:t>
      </w:r>
    </w:p>
    <w:p>
      <w:pPr>
        <w:pStyle w:val="ListParagraph"/>
        <w:numPr>
          <w:ilvl w:val="0"/>
          <w:numId w:val="2"/>
        </w:numPr>
        <w:spacing w:after="50" w:before="50" w:line="290"/>
        <w:jc w:val="both"/>
      </w:pPr>
      <w:r>
        <w:rPr>
          <w:b/>
          <w:bCs/>
        </w:rPr>
        <w:t xml:space="preserve">Comunicar el pre-commit hook a Sergio</w:t>
      </w:r>
      <w:r>
        <w:t xml:space="preserve"> (prioridad baja). Cuando vuelva a tocar código del matcher o el NLP, necesita ejecutar el comando de instalación del hook en su clon del repositorio. Es una conversación de 5 minutos.</w:t>
      </w:r>
    </w:p>
    <w:p>
      <w:pPr>
        <w:pStyle w:val="Heading2"/>
        <w:spacing w:after="160" w:before="280"/>
      </w:pPr>
      <w:r>
        <w:rPr>
          <w:b/>
          <w:bCs/>
          <w:color w:val="1F3864"/>
          <w:sz w:val="24"/>
          <w:szCs w:val="24"/>
        </w:rPr>
        <w:t xml:space="preserve">6.3 Decisiones que requieren atención del equipo</w:t>
      </w:r>
    </w:p>
    <w:p>
      <w:pPr>
        <w:spacing w:after="100" w:before="100" w:line="320"/>
        <w:jc w:val="both"/>
      </w:pPr>
      <w:r>
        <w:t xml:space="preserve">Tres temas requieren conversación o decisión del equipo que el sistema no resuelve solo:</w:t>
      </w:r>
    </w:p>
    <w:p>
      <w:pPr>
        <w:pStyle w:val="ListParagraph"/>
        <w:numPr>
          <w:ilvl w:val="0"/>
          <w:numId w:val="2"/>
        </w:numPr>
        <w:spacing w:after="50" w:before="50" w:line="290"/>
        <w:jc w:val="both"/>
      </w:pPr>
      <w:r>
        <w:rPr>
          <w:b/>
          <w:bCs/>
        </w:rPr>
        <w:t xml:space="preserve">¿Las ofertas duplicadas masivas del Portal Empleo Nacional son un problema o no?</w:t>
      </w:r>
      <w:r>
        <w:t xml:space="preserve"> Empresas como ARCOS DORADOS publican el mismo aviso 14 veces con 100 vacantes cada uno. Hay tres hipótesis posibles. Si es deduplicación incompleta del scraper, hay que arreglarla. Si es re-publicación real de la empresa, hay que decidir si MOL las cuenta como una o como muchas. Si es política del portal, hay que documentarlo. Sin decisión del equipo, el corpus continúa con esta característica que afecta los análisis.</w:t>
      </w:r>
    </w:p>
    <w:p>
      <w:pPr>
        <w:pStyle w:val="ListParagraph"/>
        <w:numPr>
          <w:ilvl w:val="0"/>
          <w:numId w:val="2"/>
        </w:numPr>
        <w:spacing w:after="50" w:before="50" w:line="290"/>
        <w:jc w:val="both"/>
      </w:pPr>
      <w:r>
        <w:rPr>
          <w:b/>
          <w:bCs/>
        </w:rPr>
        <w:t xml:space="preserve">¿Cómo se redefine la métrica del perfil argentino curado?</w:t>
      </w:r>
      <w:r>
        <w:t xml:space="preserve"> El "43% de cobertura" del informe largo ya no es directamente comparable porque el pipeline ahora exige URI ESCO. La métrica refinada (43% sobre las 44 ocupaciones curadas) es metodológicamente correcta pero requiere documentación explícita. Conviene formalizar la nueva definición antes de que aparezca en próximos reportes externos.</w:t>
      </w:r>
    </w:p>
    <w:p>
      <w:pPr>
        <w:pStyle w:val="ListParagraph"/>
        <w:numPr>
          <w:ilvl w:val="0"/>
          <w:numId w:val="2"/>
        </w:numPr>
        <w:spacing w:after="50" w:before="50" w:line="290"/>
        <w:jc w:val="both"/>
      </w:pPr>
      <w:r>
        <w:rPr>
          <w:b/>
          <w:bCs/>
        </w:rPr>
        <w:t xml:space="preserve">¿El crecimiento del perfil argentino incluye TIC?</w:t>
      </w:r>
      <w:r>
        <w:t xml:space="preserve"> El gap de cobertura de 9 puntos porcentuales en Indeed sugiere que las ocupaciones TIC argentinas (desarrollador, ingeniero de datos, consultor TIC) son candidatas naturales a sumar al perfil curado. Es una decisión de prioridad para el crecimiento incremental del perfil.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Documento técnico interno · Equipo MOL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595959"/>
        <w:sz w:val="18"/>
        <w:szCs w:val="18"/>
      </w:rPr>
      <w:t xml:space="preserve">Reporte semanal MOL · Semana 12-18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240"/>
      <w:outlineLvl w:val="1"/>
    </w:pPr>
    <w:rPr>
      <w:rFonts w:ascii="Calibri" w:cs="Calibri" w:eastAsia="Calibri" w:hAnsi="Calibri"/>
      <w:b/>
      <w:bCs/>
      <w:color w:val="1F3864"/>
      <w:sz w:val="24"/>
      <w:szCs w:val="24"/>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semanal MOL — 12 al 18 de mayo de 2026</dc:title>
  <dc:creator>Equipo MOL</dc:creator>
  <dc:description>Reporte técnico interno semanal</dc:description>
  <cp:lastModifiedBy>Un-named</cp:lastModifiedBy>
  <cp:revision>1</cp:revision>
  <dcterms:created xsi:type="dcterms:W3CDTF">2026-05-19T18:15:46.090Z</dcterms:created>
  <dcterms:modified xsi:type="dcterms:W3CDTF">2026-05-19T18:15:46.105Z</dcterms:modified>
</cp:coreProperties>
</file>

<file path=docProps/custom.xml><?xml version="1.0" encoding="utf-8"?>
<Properties xmlns="http://schemas.openxmlformats.org/officeDocument/2006/custom-properties" xmlns:vt="http://schemas.openxmlformats.org/officeDocument/2006/docPropsVTypes"/>
</file>