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8594"/>
      </w:tblGrid>
      <w:tr w:rsidR="00984604" w:rsidRPr="00984604" w:rsidTr="00984604">
        <w:trPr>
          <w:tblCellSpacing w:w="15" w:type="dxa"/>
          <w:jc w:val="center"/>
        </w:trPr>
        <w:tc>
          <w:tcPr>
            <w:tcW w:w="0" w:type="auto"/>
            <w:vAlign w:val="center"/>
            <w:hideMark/>
          </w:tcPr>
          <w:tbl>
            <w:tblPr>
              <w:tblpPr w:leftFromText="45" w:rightFromText="45" w:vertAnchor="text"/>
              <w:tblW w:w="1500" w:type="pct"/>
              <w:tblCellSpacing w:w="15" w:type="dxa"/>
              <w:tblCellMar>
                <w:top w:w="15" w:type="dxa"/>
                <w:left w:w="15" w:type="dxa"/>
                <w:bottom w:w="15" w:type="dxa"/>
                <w:right w:w="15" w:type="dxa"/>
              </w:tblCellMar>
              <w:tblLook w:val="04A0" w:firstRow="1" w:lastRow="0" w:firstColumn="1" w:lastColumn="0" w:noHBand="0" w:noVBand="1"/>
            </w:tblPr>
            <w:tblGrid>
              <w:gridCol w:w="1520"/>
              <w:gridCol w:w="1578"/>
              <w:gridCol w:w="45"/>
            </w:tblGrid>
            <w:tr w:rsidR="00984604" w:rsidRPr="00984604">
              <w:trPr>
                <w:gridAfter w:val="1"/>
                <w:tblCellSpacing w:w="15" w:type="dxa"/>
              </w:trPr>
              <w:tc>
                <w:tcPr>
                  <w:tcW w:w="0" w:type="auto"/>
                  <w:gridSpan w:val="2"/>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bookmarkStart w:id="0" w:name="_GoBack"/>
                  <w:bookmarkEnd w:id="0"/>
                </w:p>
              </w:tc>
            </w:tr>
            <w:tr w:rsidR="00984604" w:rsidRPr="00984604">
              <w:trPr>
                <w:gridAfter w:val="1"/>
                <w:tblCellSpacing w:w="15" w:type="dxa"/>
              </w:trPr>
              <w:tc>
                <w:tcPr>
                  <w:tcW w:w="0" w:type="auto"/>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w:t>
                  </w:r>
                  <w:r w:rsidRPr="00984604">
                    <w:rPr>
                      <w:rFonts w:ascii="Arial" w:eastAsia="Times New Roman" w:hAnsi="Arial" w:cs="Arial"/>
                      <w:b/>
                      <w:bCs/>
                      <w:color w:val="000000"/>
                      <w:sz w:val="26"/>
                      <w:szCs w:val="26"/>
                      <w:lang w:eastAsia="pt-BR"/>
                    </w:rPr>
                    <w:t xml:space="preserve">Diário Oficial </w:t>
                  </w:r>
                  <w:proofErr w:type="gramStart"/>
                  <w:r w:rsidRPr="00984604">
                    <w:rPr>
                      <w:rFonts w:ascii="Arial" w:eastAsia="Times New Roman" w:hAnsi="Arial" w:cs="Arial"/>
                      <w:b/>
                      <w:bCs/>
                      <w:color w:val="000000"/>
                      <w:sz w:val="26"/>
                      <w:szCs w:val="26"/>
                      <w:lang w:eastAsia="pt-BR"/>
                    </w:rPr>
                    <w:t>nº :</w:t>
                  </w:r>
                  <w:proofErr w:type="gramEnd"/>
                  <w:r w:rsidRPr="00984604">
                    <w:rPr>
                      <w:rFonts w:ascii="Arial" w:eastAsia="Times New Roman" w:hAnsi="Arial" w:cs="Arial"/>
                      <w:color w:val="000000"/>
                      <w:sz w:val="26"/>
                      <w:szCs w:val="26"/>
                      <w:lang w:eastAsia="pt-BR"/>
                    </w:rPr>
                    <w:t xml:space="preserve"> </w:t>
                  </w:r>
                </w:p>
              </w:tc>
              <w:tc>
                <w:tcPr>
                  <w:tcW w:w="0" w:type="auto"/>
                  <w:tcMar>
                    <w:top w:w="15" w:type="dxa"/>
                    <w:left w:w="150" w:type="dxa"/>
                    <w:bottom w:w="15" w:type="dxa"/>
                    <w:right w:w="15" w:type="dxa"/>
                  </w:tcMar>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xml:space="preserve">26332 </w:t>
                  </w:r>
                </w:p>
              </w:tc>
            </w:tr>
            <w:tr w:rsidR="00984604" w:rsidRPr="00984604">
              <w:trPr>
                <w:gridAfter w:val="1"/>
                <w:tblCellSpacing w:w="15" w:type="dxa"/>
              </w:trPr>
              <w:tc>
                <w:tcPr>
                  <w:tcW w:w="0" w:type="auto"/>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w:t>
                  </w:r>
                  <w:r w:rsidRPr="00984604">
                    <w:rPr>
                      <w:rFonts w:ascii="Arial" w:eastAsia="Times New Roman" w:hAnsi="Arial" w:cs="Arial"/>
                      <w:b/>
                      <w:bCs/>
                      <w:color w:val="000000"/>
                      <w:sz w:val="26"/>
                      <w:szCs w:val="26"/>
                      <w:lang w:eastAsia="pt-BR"/>
                    </w:rPr>
                    <w:t>Data de publicação:</w:t>
                  </w:r>
                  <w:r w:rsidRPr="00984604">
                    <w:rPr>
                      <w:rFonts w:ascii="Arial" w:eastAsia="Times New Roman" w:hAnsi="Arial" w:cs="Arial"/>
                      <w:color w:val="000000"/>
                      <w:sz w:val="26"/>
                      <w:szCs w:val="26"/>
                      <w:lang w:eastAsia="pt-BR"/>
                    </w:rPr>
                    <w:t xml:space="preserve"> </w:t>
                  </w:r>
                </w:p>
              </w:tc>
              <w:tc>
                <w:tcPr>
                  <w:tcW w:w="0" w:type="auto"/>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xml:space="preserve">   17/07/2014 </w:t>
                  </w:r>
                </w:p>
              </w:tc>
            </w:tr>
            <w:tr w:rsidR="00984604" w:rsidRPr="00984604">
              <w:trPr>
                <w:gridAfter w:val="1"/>
                <w:tblCellSpacing w:w="15" w:type="dxa"/>
              </w:trPr>
              <w:tc>
                <w:tcPr>
                  <w:tcW w:w="0" w:type="auto"/>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w:t>
                  </w:r>
                  <w:r w:rsidRPr="00984604">
                    <w:rPr>
                      <w:rFonts w:ascii="Arial" w:eastAsia="Times New Roman" w:hAnsi="Arial" w:cs="Arial"/>
                      <w:b/>
                      <w:bCs/>
                      <w:color w:val="000000"/>
                      <w:sz w:val="26"/>
                      <w:szCs w:val="26"/>
                      <w:lang w:eastAsia="pt-BR"/>
                    </w:rPr>
                    <w:t xml:space="preserve">Matéria </w:t>
                  </w:r>
                  <w:proofErr w:type="gramStart"/>
                  <w:r w:rsidRPr="00984604">
                    <w:rPr>
                      <w:rFonts w:ascii="Arial" w:eastAsia="Times New Roman" w:hAnsi="Arial" w:cs="Arial"/>
                      <w:b/>
                      <w:bCs/>
                      <w:color w:val="000000"/>
                      <w:sz w:val="26"/>
                      <w:szCs w:val="26"/>
                      <w:lang w:eastAsia="pt-BR"/>
                    </w:rPr>
                    <w:t>nº :</w:t>
                  </w:r>
                  <w:proofErr w:type="gramEnd"/>
                  <w:r w:rsidRPr="00984604">
                    <w:rPr>
                      <w:rFonts w:ascii="Arial" w:eastAsia="Times New Roman" w:hAnsi="Arial" w:cs="Arial"/>
                      <w:color w:val="000000"/>
                      <w:sz w:val="26"/>
                      <w:szCs w:val="26"/>
                      <w:lang w:eastAsia="pt-BR"/>
                    </w:rPr>
                    <w:t xml:space="preserve"> </w:t>
                  </w:r>
                </w:p>
              </w:tc>
              <w:tc>
                <w:tcPr>
                  <w:tcW w:w="0" w:type="auto"/>
                  <w:tcMar>
                    <w:top w:w="15" w:type="dxa"/>
                    <w:left w:w="150" w:type="dxa"/>
                    <w:bottom w:w="15" w:type="dxa"/>
                    <w:right w:w="15" w:type="dxa"/>
                  </w:tcMar>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xml:space="preserve">682992 </w:t>
                  </w:r>
                </w:p>
              </w:tc>
            </w:tr>
            <w:tr w:rsidR="00984604" w:rsidRPr="00984604">
              <w:trPr>
                <w:gridAfter w:val="1"/>
                <w:tblCellSpacing w:w="15" w:type="dxa"/>
              </w:trPr>
              <w:tc>
                <w:tcPr>
                  <w:tcW w:w="0" w:type="auto"/>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p>
              </w:tc>
              <w:tc>
                <w:tcPr>
                  <w:tcW w:w="0" w:type="auto"/>
                  <w:vAlign w:val="center"/>
                  <w:hideMark/>
                </w:tcPr>
                <w:p w:rsidR="00984604" w:rsidRPr="00984604" w:rsidRDefault="00984604" w:rsidP="00984604">
                  <w:pPr>
                    <w:spacing w:after="0" w:line="240" w:lineRule="auto"/>
                    <w:rPr>
                      <w:rFonts w:ascii="Arial" w:eastAsia="Times New Roman" w:hAnsi="Arial" w:cs="Arial"/>
                      <w:sz w:val="26"/>
                      <w:szCs w:val="26"/>
                      <w:lang w:eastAsia="pt-BR"/>
                    </w:rPr>
                  </w:pPr>
                </w:p>
              </w:tc>
            </w:tr>
            <w:tr w:rsidR="00984604" w:rsidRPr="00984604">
              <w:trPr>
                <w:tblCellSpacing w:w="15" w:type="dxa"/>
              </w:trPr>
              <w:tc>
                <w:tcPr>
                  <w:tcW w:w="0" w:type="auto"/>
                  <w:gridSpan w:val="3"/>
                  <w:vAlign w:val="center"/>
                  <w:hideMark/>
                </w:tcPr>
                <w:p w:rsidR="00984604" w:rsidRPr="00984604" w:rsidRDefault="00984604" w:rsidP="00984604">
                  <w:pPr>
                    <w:spacing w:after="0" w:line="240" w:lineRule="auto"/>
                    <w:rPr>
                      <w:rFonts w:ascii="Arial" w:eastAsia="Times New Roman" w:hAnsi="Arial" w:cs="Arial"/>
                      <w:color w:val="000000"/>
                      <w:sz w:val="26"/>
                      <w:szCs w:val="26"/>
                      <w:lang w:eastAsia="pt-BR"/>
                    </w:rPr>
                  </w:pPr>
                  <w:r w:rsidRPr="00984604">
                    <w:rPr>
                      <w:rFonts w:ascii="Arial" w:eastAsia="Times New Roman" w:hAnsi="Arial" w:cs="Arial"/>
                      <w:color w:val="000000"/>
                      <w:sz w:val="26"/>
                      <w:szCs w:val="26"/>
                      <w:lang w:eastAsia="pt-BR"/>
                    </w:rPr>
                    <w:t xml:space="preserve">  </w:t>
                  </w:r>
                </w:p>
              </w:tc>
            </w:tr>
          </w:tbl>
          <w:p w:rsidR="00984604" w:rsidRPr="00984604" w:rsidRDefault="00984604" w:rsidP="00984604">
            <w:pPr>
              <w:spacing w:after="0" w:line="240" w:lineRule="auto"/>
              <w:rPr>
                <w:rFonts w:ascii="Arial" w:eastAsia="Times New Roman" w:hAnsi="Arial" w:cs="Arial"/>
                <w:sz w:val="26"/>
                <w:szCs w:val="26"/>
                <w:lang w:eastAsia="pt-BR"/>
              </w:rPr>
            </w:pPr>
          </w:p>
        </w:tc>
      </w:tr>
      <w:tr w:rsidR="00984604" w:rsidRPr="00984604" w:rsidTr="00984604">
        <w:trPr>
          <w:tblCellSpacing w:w="15" w:type="dxa"/>
          <w:jc w:val="center"/>
        </w:trPr>
        <w:tc>
          <w:tcPr>
            <w:tcW w:w="0" w:type="auto"/>
            <w:vAlign w:val="center"/>
            <w:hideMark/>
          </w:tcPr>
          <w:tbl>
            <w:tblPr>
              <w:tblW w:w="4750" w:type="pct"/>
              <w:tblCellSpacing w:w="0" w:type="dxa"/>
              <w:tblCellMar>
                <w:left w:w="600" w:type="dxa"/>
                <w:right w:w="0" w:type="dxa"/>
              </w:tblCellMar>
              <w:tblLook w:val="04A0" w:firstRow="1" w:lastRow="0" w:firstColumn="1" w:lastColumn="0" w:noHBand="0" w:noVBand="1"/>
            </w:tblPr>
            <w:tblGrid>
              <w:gridCol w:w="8079"/>
            </w:tblGrid>
            <w:tr w:rsidR="00984604" w:rsidRPr="00984604">
              <w:trPr>
                <w:tblCellSpacing w:w="0" w:type="dxa"/>
              </w:trPr>
              <w:tc>
                <w:tcPr>
                  <w:tcW w:w="0" w:type="auto"/>
                  <w:vAlign w:val="center"/>
                  <w:hideMark/>
                </w:tcPr>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shd w:val="clear" w:color="auto" w:fill="000000"/>
                      <w:lang w:eastAsia="pt-BR"/>
                    </w:rPr>
                    <w:br/>
                  </w:r>
                  <w:r w:rsidRPr="00984604">
                    <w:rPr>
                      <w:rFonts w:ascii="Arial" w:eastAsia="Times New Roman" w:hAnsi="Arial" w:cs="Arial"/>
                      <w:b/>
                      <w:bCs/>
                      <w:color w:val="000000"/>
                      <w:sz w:val="26"/>
                      <w:szCs w:val="26"/>
                      <w:lang w:eastAsia="pt-BR"/>
                    </w:rPr>
                    <w:t xml:space="preserve">INSTRUÇÃO NORMATIVA Nº 001/2014/GAB/SEJUDH, DE 16 DE JULHO DE </w:t>
                  </w:r>
                  <w:proofErr w:type="gramStart"/>
                  <w:r w:rsidRPr="00984604">
                    <w:rPr>
                      <w:rFonts w:ascii="Arial" w:eastAsia="Times New Roman" w:hAnsi="Arial" w:cs="Arial"/>
                      <w:b/>
                      <w:bCs/>
                      <w:color w:val="000000"/>
                      <w:sz w:val="26"/>
                      <w:szCs w:val="26"/>
                      <w:lang w:eastAsia="pt-BR"/>
                    </w:rPr>
                    <w:t>2014</w:t>
                  </w:r>
                  <w:proofErr w:type="gramEnd"/>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b/>
                      <w:bCs/>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Dispõe sobre a regulamentação da função armada, bem como a cautela de material bélico, de propriedade do Estado de Mato Grosso, por Agentes Penitenciários, lotados no quadro de pessoal da Secretaria de Justiça e Direitos </w:t>
                  </w:r>
                  <w:proofErr w:type="gramStart"/>
                  <w:r w:rsidRPr="00984604">
                    <w:rPr>
                      <w:rFonts w:ascii="Arial" w:eastAsia="Times New Roman" w:hAnsi="Arial" w:cs="Arial"/>
                      <w:color w:val="000000"/>
                      <w:sz w:val="26"/>
                      <w:szCs w:val="26"/>
                      <w:lang w:eastAsia="pt-BR"/>
                    </w:rPr>
                    <w:t>Humanos -SEJUDH</w:t>
                  </w:r>
                  <w:proofErr w:type="gramEnd"/>
                  <w:r w:rsidRPr="00984604">
                    <w:rPr>
                      <w:rFonts w:ascii="Arial" w:eastAsia="Times New Roman" w:hAnsi="Arial" w:cs="Arial"/>
                      <w:color w:val="000000"/>
                      <w:sz w:val="26"/>
                      <w:szCs w:val="26"/>
                      <w:lang w:eastAsia="pt-BR"/>
                    </w:rPr>
                    <w:t xml:space="preserve"> e dá outras providências.</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CONSIDERANDO que a portaria n°089/2013/GAB/SEJUDH/MT, que instituiu Comissão para regulamentar a função armada, dos Agentes Penitenciários, nos estabelecimentos que integram o Sistema Penitenciário do Estado de Mato Grosso;</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CONSIDERANDO  que a Secretaria de Estado da Justiça e Direitos Humanos do Estado de Mato Grosso é competente para coordenar, articular, planejar, implantar e controlar a Politica Penitenciária Estadual, conforme a Lei Complementar n° 413/2010, além das disposições da Lei Complementar nº 389/2010 e  Artigo 74 da Lei 7.210/1984 (Lei de Execução Penal);</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CONSIDERANDO a necessidade de regulamentar a função armada, bem como regulamentação da cautela de material bélico, de propriedade do Estado do Mato Grosso fornecida aos Agentes Penitenciários da Secretaria do Estado de Justiça e Direitos Humanos – SEJUDH, nos termos da Lei Complementar 507/2013, que acrescentou o inciso II, no art. 8° e §5° do art. 43-A, da Lei Complementar n° 389/2010 e do art.34 do Decreto Federal n° 5.123/2004.</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RESOLVE:</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lastRenderedPageBreak/>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Art.1° Regulamentar o uso de material bélico, de uso restrito ou permitido, de propriedade do Estado de Mato Grosso, fornecida aos Agentes Penitenciários, pertencentes do quadro de pessoal da Secretaria de Estado da Justiça de Direitos Humanos – SEJUDH.</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Art.2° O ocupante do cargo efetivo de Agente Penitenciário, de que trata a Lei Complementar n° 389, de 31 de março 2010, poderá portar arma de fogo institucional, dentro e fora dos limites do Estado de Mato Grosso, desde que:</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ind w:left="15"/>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 - Preencha os requisitos do Art. 4° da Lei Federal n°10.826, de 22 de dezembro de 2003;</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II - Não esteja em gozo de licença médica por doença que não recomende o uso de armamento;</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Art.3° Em missões dentro e fora dos limites do Estado de Mato Grosso, o servidor deverá acompanhar documento denominado Ordem de Serviço, devidamente autorizada pelo Superior Imediato, conforme modelo em anexo I para missões dentro do Estado e anexo II para autorização para portar material bélico em outra unidade da federação.</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Art.4° A cautela de arma de fogo de que trata esta Instrução Normativa será concedida pelo superior imediato juntamente com o responsável pela armaria da unidade, devidamente registrado em termo de Cautela em livro próprio com o registro de armamento, conforme modelo em anexo III.</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Art.5° O Agente Penitenciário ficará responsável pelo bom uso, conservação e manutenção do material bélico cautelado, estando sujeito </w:t>
                  </w:r>
                  <w:proofErr w:type="gramStart"/>
                  <w:r w:rsidRPr="00984604">
                    <w:rPr>
                      <w:rFonts w:ascii="Arial" w:eastAsia="Times New Roman" w:hAnsi="Arial" w:cs="Arial"/>
                      <w:color w:val="000000"/>
                      <w:sz w:val="26"/>
                      <w:szCs w:val="26"/>
                      <w:lang w:eastAsia="pt-BR"/>
                    </w:rPr>
                    <w:t>a</w:t>
                  </w:r>
                  <w:proofErr w:type="gramEnd"/>
                  <w:r w:rsidRPr="00984604">
                    <w:rPr>
                      <w:rFonts w:ascii="Arial" w:eastAsia="Times New Roman" w:hAnsi="Arial" w:cs="Arial"/>
                      <w:color w:val="000000"/>
                      <w:sz w:val="26"/>
                      <w:szCs w:val="26"/>
                      <w:lang w:eastAsia="pt-BR"/>
                    </w:rPr>
                    <w:t xml:space="preserve"> responsabilização civil, administrativa e penal.</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Art.6° Fica expressamente proibido o uso de arma de fogo cautelada para o exercício de atividades não inerentes ao cargo de Agente Penitenciário do Sistema Penitenciário. </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lastRenderedPageBreak/>
                    <w:t xml:space="preserve">Art.7° Será de responsabilidade </w:t>
                  </w:r>
                  <w:proofErr w:type="gramStart"/>
                  <w:r w:rsidRPr="00984604">
                    <w:rPr>
                      <w:rFonts w:ascii="Arial" w:eastAsia="Times New Roman" w:hAnsi="Arial" w:cs="Arial"/>
                      <w:color w:val="000000"/>
                      <w:sz w:val="26"/>
                      <w:szCs w:val="26"/>
                      <w:lang w:eastAsia="pt-BR"/>
                    </w:rPr>
                    <w:t>do Agente Penitenciário portar</w:t>
                  </w:r>
                  <w:proofErr w:type="gramEnd"/>
                  <w:r w:rsidRPr="00984604">
                    <w:rPr>
                      <w:rFonts w:ascii="Arial" w:eastAsia="Times New Roman" w:hAnsi="Arial" w:cs="Arial"/>
                      <w:color w:val="000000"/>
                      <w:sz w:val="26"/>
                      <w:szCs w:val="26"/>
                      <w:lang w:eastAsia="pt-BR"/>
                    </w:rPr>
                    <w:t xml:space="preserve"> a arma de fogo, devidamente acompanhada da Carteira Identidade Funcional que dá o direito ao referido porte, o registro da arma cautelada, bem como a ordem de serviço caso haja a necessidade.</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Art.8° Ao Agente Penitenciário que cautelar arma de fogo de propriedade do Estado, será concedido munições na quantidade necessária para o desempenho da missão.</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§1° É de responsabilidade do Agente Penitenciário que portar material bélico de propriedade do Estado, seu </w:t>
                  </w:r>
                  <w:proofErr w:type="spellStart"/>
                  <w:r w:rsidRPr="00984604">
                    <w:rPr>
                      <w:rFonts w:ascii="Arial" w:eastAsia="Times New Roman" w:hAnsi="Arial" w:cs="Arial"/>
                      <w:color w:val="000000"/>
                      <w:sz w:val="26"/>
                      <w:szCs w:val="26"/>
                      <w:lang w:eastAsia="pt-BR"/>
                    </w:rPr>
                    <w:t>desacautelamento</w:t>
                  </w:r>
                  <w:proofErr w:type="spellEnd"/>
                  <w:r w:rsidRPr="00984604">
                    <w:rPr>
                      <w:rFonts w:ascii="Arial" w:eastAsia="Times New Roman" w:hAnsi="Arial" w:cs="Arial"/>
                      <w:color w:val="000000"/>
                      <w:sz w:val="26"/>
                      <w:szCs w:val="26"/>
                      <w:lang w:eastAsia="pt-BR"/>
                    </w:rPr>
                    <w:t xml:space="preserve"> após o termino do plantão ou missão, devendo ser conferido todo o referido material acautelado em nome do servidor para devida baixa.</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§2°Ocorrendo disparo, extravio, roubo ou furto, nas suas formas simples ou qualificadas, de material bélico pertencente ao patrimônio ou carga institucional da SEJUDH, além de se fazerem os registros pertinentes na Circunscrição Policial, o servidor que recebeu a cautela deverá comunicar imediatamente o ocorrido ao seu superior imediato, devendo constar em tal comunicação:</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 - Local exato (nome do estabelecimento penal e /ou rua/</w:t>
                  </w:r>
                  <w:proofErr w:type="spellStart"/>
                  <w:proofErr w:type="gramStart"/>
                  <w:r w:rsidRPr="00984604">
                    <w:rPr>
                      <w:rFonts w:ascii="Arial" w:eastAsia="Times New Roman" w:hAnsi="Arial" w:cs="Arial"/>
                      <w:color w:val="000000"/>
                      <w:sz w:val="26"/>
                      <w:szCs w:val="26"/>
                      <w:lang w:eastAsia="pt-BR"/>
                    </w:rPr>
                    <w:t>Avenida,</w:t>
                  </w:r>
                  <w:proofErr w:type="gramEnd"/>
                  <w:r w:rsidRPr="00984604">
                    <w:rPr>
                      <w:rFonts w:ascii="Arial" w:eastAsia="Times New Roman" w:hAnsi="Arial" w:cs="Arial"/>
                      <w:color w:val="000000"/>
                      <w:sz w:val="26"/>
                      <w:szCs w:val="26"/>
                      <w:lang w:eastAsia="pt-BR"/>
                    </w:rPr>
                    <w:t>n°,bairro,cidade,Estado</w:t>
                  </w:r>
                  <w:proofErr w:type="spellEnd"/>
                  <w:r w:rsidRPr="00984604">
                    <w:rPr>
                      <w:rFonts w:ascii="Arial" w:eastAsia="Times New Roman" w:hAnsi="Arial" w:cs="Arial"/>
                      <w:color w:val="000000"/>
                      <w:sz w:val="26"/>
                      <w:szCs w:val="26"/>
                      <w:lang w:eastAsia="pt-BR"/>
                    </w:rPr>
                    <w:t>, etc.),data e horas ocorridos;</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II - Descrição de como ocorrem os fatos, arrolando testemunhas (se possível);</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III - Anexar boletim de ocorrência, relatórios do servidor, cópia do livro de ocorrência e etc. </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b/>
                      <w:bCs/>
                      <w:color w:val="000000"/>
                      <w:sz w:val="26"/>
                      <w:szCs w:val="26"/>
                      <w:lang w:eastAsia="pt-BR"/>
                    </w:rPr>
                    <w:t>Paragrafo único</w:t>
                  </w:r>
                  <w:r w:rsidRPr="00984604">
                    <w:rPr>
                      <w:rFonts w:ascii="Arial" w:eastAsia="Times New Roman" w:hAnsi="Arial" w:cs="Arial"/>
                      <w:color w:val="000000"/>
                      <w:sz w:val="26"/>
                      <w:szCs w:val="26"/>
                      <w:lang w:eastAsia="pt-BR"/>
                    </w:rPr>
                    <w:t xml:space="preserve">. O estabelecimento Penal ou Unidade detentora de material bélico extraviado de qualquer </w:t>
                  </w:r>
                  <w:proofErr w:type="spellStart"/>
                  <w:proofErr w:type="gramStart"/>
                  <w:r w:rsidRPr="00984604">
                    <w:rPr>
                      <w:rFonts w:ascii="Arial" w:eastAsia="Times New Roman" w:hAnsi="Arial" w:cs="Arial"/>
                      <w:color w:val="000000"/>
                      <w:sz w:val="26"/>
                      <w:szCs w:val="26"/>
                      <w:lang w:eastAsia="pt-BR"/>
                    </w:rPr>
                    <w:t>modo,</w:t>
                  </w:r>
                  <w:proofErr w:type="gramEnd"/>
                  <w:r w:rsidRPr="00984604">
                    <w:rPr>
                      <w:rFonts w:ascii="Arial" w:eastAsia="Times New Roman" w:hAnsi="Arial" w:cs="Arial"/>
                      <w:color w:val="000000"/>
                      <w:sz w:val="26"/>
                      <w:szCs w:val="26"/>
                      <w:lang w:eastAsia="pt-BR"/>
                    </w:rPr>
                    <w:t>deverá</w:t>
                  </w:r>
                  <w:proofErr w:type="spellEnd"/>
                  <w:r w:rsidRPr="00984604">
                    <w:rPr>
                      <w:rFonts w:ascii="Arial" w:eastAsia="Times New Roman" w:hAnsi="Arial" w:cs="Arial"/>
                      <w:color w:val="000000"/>
                      <w:sz w:val="26"/>
                      <w:szCs w:val="26"/>
                      <w:lang w:eastAsia="pt-BR"/>
                    </w:rPr>
                    <w:t xml:space="preserve"> comunicar imediatamente ao Superintendente respectivo, e caso o fato tenha sido praticado em decorrência de conduta desidiosa, de forma imprudente, negligente ou imperita, por parte do servidor a quem a cautela  tenha sido deferida, terá a mesma suspensa pelo seu superior imediato, que por sua vez, encaminhará o caso para o órgão correcional disciplinar competente, para apuração da responsabilidade administrativa, </w:t>
                  </w:r>
                  <w:r w:rsidRPr="00984604">
                    <w:rPr>
                      <w:rFonts w:ascii="Arial" w:eastAsia="Times New Roman" w:hAnsi="Arial" w:cs="Arial"/>
                      <w:color w:val="000000"/>
                      <w:sz w:val="26"/>
                      <w:szCs w:val="26"/>
                      <w:lang w:eastAsia="pt-BR"/>
                    </w:rPr>
                    <w:lastRenderedPageBreak/>
                    <w:t>sem prejuízo de sua responsabilização civil e/ou criminal.</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Art.9° Fica estabelecido que para a renovação do porte de arma de fogo dos Agentes Penitenciários do Estado de Mato Grosso, o servidor deverá apresentar Laudo psicotécnico emitido por psicólogo credenciado junto ao Departamento de Polícia Federal (SINARM), certidões de comprovação de idoneidade moral, bem como ser avaliado por instrutor de tiro devidamente credenciado pela Escola Penitenciária do Estado de Mato Grosso.</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Art.10 Será suspenso cautelarmente </w:t>
                  </w:r>
                  <w:proofErr w:type="gramStart"/>
                  <w:r w:rsidRPr="00984604">
                    <w:rPr>
                      <w:rFonts w:ascii="Arial" w:eastAsia="Times New Roman" w:hAnsi="Arial" w:cs="Arial"/>
                      <w:color w:val="000000"/>
                      <w:sz w:val="26"/>
                      <w:szCs w:val="26"/>
                      <w:lang w:eastAsia="pt-BR"/>
                    </w:rPr>
                    <w:t>a</w:t>
                  </w:r>
                  <w:proofErr w:type="gramEnd"/>
                  <w:r w:rsidRPr="00984604">
                    <w:rPr>
                      <w:rFonts w:ascii="Arial" w:eastAsia="Times New Roman" w:hAnsi="Arial" w:cs="Arial"/>
                      <w:color w:val="000000"/>
                      <w:sz w:val="26"/>
                      <w:szCs w:val="26"/>
                      <w:lang w:eastAsia="pt-BR"/>
                    </w:rPr>
                    <w:t xml:space="preserve"> cautela de porte de arma de fogo de propriedade do Estado de Mato Grosso ao Agente Penitenciário, nas seguintes hipóteses:</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I - Estiver portando arma de fogo em estado de embriaguez ou </w:t>
                  </w:r>
                  <w:proofErr w:type="gramStart"/>
                  <w:r w:rsidRPr="00984604">
                    <w:rPr>
                      <w:rFonts w:ascii="Arial" w:eastAsia="Times New Roman" w:hAnsi="Arial" w:cs="Arial"/>
                      <w:color w:val="000000"/>
                      <w:sz w:val="26"/>
                      <w:szCs w:val="26"/>
                      <w:lang w:eastAsia="pt-BR"/>
                    </w:rPr>
                    <w:t>sob efeito</w:t>
                  </w:r>
                  <w:proofErr w:type="gramEnd"/>
                  <w:r w:rsidRPr="00984604">
                    <w:rPr>
                      <w:rFonts w:ascii="Arial" w:eastAsia="Times New Roman" w:hAnsi="Arial" w:cs="Arial"/>
                      <w:color w:val="000000"/>
                      <w:sz w:val="26"/>
                      <w:szCs w:val="26"/>
                      <w:lang w:eastAsia="pt-BR"/>
                    </w:rPr>
                    <w:t xml:space="preserve"> de substância entorpecente;</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II - For submetido a tratamento psicológico ou psiquiátrico que indique ser razoável não manuseio de arma de fogo;</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III - Ausentar do território estadual portando arma de fogo de propriedade do Estado de Mato Grosso, salvo quando em exercício de atividade penitenciária e mediante prévia e expressa autorização da autoridade competente;</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IV - Realizar atividades profissionais não relacionadas ao cargo de Agente Penitenciário, tais como  segurança privada pessoal ou patrimonial ou serviços particulares, empresariais de cobrança, entre outros;</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V - For condenado criminalmente com sentença transitada e julgado;</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VI - For condenado em procedimento administrativo disciplinar por desvio de conduta e/o descumprimento do dever legal;</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VII - Estiver respondendo a inquérito policial, processo criminal e/ou processo administrativo disciplinar cujo fato seja considerado grave, bem como, verificando-se indícios claros de prática infracional, penal ou administrativa;</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VIII – Ameaçar, de qualquer forma (gestos, palavras, virtualmente, p. </w:t>
                  </w:r>
                  <w:proofErr w:type="spellStart"/>
                  <w:r w:rsidRPr="00984604">
                    <w:rPr>
                      <w:rFonts w:ascii="Arial" w:eastAsia="Times New Roman" w:hAnsi="Arial" w:cs="Arial"/>
                      <w:color w:val="000000"/>
                      <w:sz w:val="26"/>
                      <w:szCs w:val="26"/>
                      <w:lang w:eastAsia="pt-BR"/>
                    </w:rPr>
                    <w:t>ex</w:t>
                  </w:r>
                  <w:proofErr w:type="spellEnd"/>
                  <w:r w:rsidRPr="00984604">
                    <w:rPr>
                      <w:rFonts w:ascii="Arial" w:eastAsia="Times New Roman" w:hAnsi="Arial" w:cs="Arial"/>
                      <w:color w:val="000000"/>
                      <w:sz w:val="26"/>
                      <w:szCs w:val="26"/>
                      <w:lang w:eastAsia="pt-BR"/>
                    </w:rPr>
                    <w:t>) a integridade física ou moral de outro servidor ou do público em geral.</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§1° A decisão da suspensão de que trata este artigo será exarada após análise por Comissão previamente instituída pelo Secretário de Estado de Justiça e Direitos Humanos, devendo esta ser motivada.</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lastRenderedPageBreak/>
                    <w:t>§2° Além da análise da Comissão supracitada, a suspensão da cautela e do porte de arma de fogo, poderá se dar em sede de Processo Administrativo Disciplinar, a exemplo do afastamento cautelar das funções, conforme disposição da Lei Complementar nº 207/2004.</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3º Suspenso cautelarmente o porte e (ou) cautela de arma de fogo, a carteira de identidade funcional do servidor será recolhida, devendo este providenciar uma nova sem a autorização para o porte.</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§3° Em casos de demissão o Agente Penitenciário terá sua carteira funcional recolhida definitivamente, bem como deverá este proceder </w:t>
                  </w:r>
                  <w:proofErr w:type="gramStart"/>
                  <w:r w:rsidRPr="00984604">
                    <w:rPr>
                      <w:rFonts w:ascii="Arial" w:eastAsia="Times New Roman" w:hAnsi="Arial" w:cs="Arial"/>
                      <w:color w:val="000000"/>
                      <w:sz w:val="26"/>
                      <w:szCs w:val="26"/>
                      <w:lang w:eastAsia="pt-BR"/>
                    </w:rPr>
                    <w:t>a</w:t>
                  </w:r>
                  <w:proofErr w:type="gramEnd"/>
                  <w:r w:rsidRPr="00984604">
                    <w:rPr>
                      <w:rFonts w:ascii="Arial" w:eastAsia="Times New Roman" w:hAnsi="Arial" w:cs="Arial"/>
                      <w:color w:val="000000"/>
                      <w:sz w:val="26"/>
                      <w:szCs w:val="26"/>
                      <w:lang w:eastAsia="pt-BR"/>
                    </w:rPr>
                    <w:t xml:space="preserve"> entrega de material a ele cautelado.</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b/>
                      <w:bCs/>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 11 O Secretário Adjunto de Administração Penitenciária, analisando e entendendo necessário, autorizará a cautela de material bélico, mesmo fora de serviço, aos Agentes Penitenciários ocupantes de cargo e/ou funções que demandem segurança própria e de autoridades.</w:t>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both"/>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Art. 12 Esta portaria entra em vigor na data de sua publicação.</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Cuiabá/MT, 16 de julho de 2014.</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Luiz </w:t>
                  </w:r>
                  <w:proofErr w:type="spellStart"/>
                  <w:r w:rsidRPr="00984604">
                    <w:rPr>
                      <w:rFonts w:ascii="Arial" w:eastAsia="Times New Roman" w:hAnsi="Arial" w:cs="Arial"/>
                      <w:color w:val="000000"/>
                      <w:sz w:val="26"/>
                      <w:szCs w:val="26"/>
                      <w:lang w:eastAsia="pt-BR"/>
                    </w:rPr>
                    <w:t>Antonio</w:t>
                  </w:r>
                  <w:proofErr w:type="spellEnd"/>
                  <w:r w:rsidRPr="00984604">
                    <w:rPr>
                      <w:rFonts w:ascii="Arial" w:eastAsia="Times New Roman" w:hAnsi="Arial" w:cs="Arial"/>
                      <w:color w:val="000000"/>
                      <w:sz w:val="26"/>
                      <w:szCs w:val="26"/>
                      <w:lang w:eastAsia="pt-BR"/>
                    </w:rPr>
                    <w:t xml:space="preserve"> </w:t>
                  </w:r>
                  <w:proofErr w:type="spellStart"/>
                  <w:r w:rsidRPr="00984604">
                    <w:rPr>
                      <w:rFonts w:ascii="Arial" w:eastAsia="Times New Roman" w:hAnsi="Arial" w:cs="Arial"/>
                      <w:color w:val="000000"/>
                      <w:sz w:val="26"/>
                      <w:szCs w:val="26"/>
                      <w:lang w:eastAsia="pt-BR"/>
                    </w:rPr>
                    <w:t>Pôssas</w:t>
                  </w:r>
                  <w:proofErr w:type="spellEnd"/>
                  <w:r w:rsidRPr="00984604">
                    <w:rPr>
                      <w:rFonts w:ascii="Arial" w:eastAsia="Times New Roman" w:hAnsi="Arial" w:cs="Arial"/>
                      <w:color w:val="000000"/>
                      <w:sz w:val="26"/>
                      <w:szCs w:val="26"/>
                      <w:lang w:eastAsia="pt-BR"/>
                    </w:rPr>
                    <w:t xml:space="preserve"> de Carvalho</w:t>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Secretário de Estado de Justiça e Direitos Humanos</w:t>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SEJUDH/MT</w:t>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(Original assinado)</w:t>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 xml:space="preserve">Clarindo Alves de Castro – </w:t>
                  </w:r>
                  <w:proofErr w:type="spellStart"/>
                  <w:r w:rsidRPr="00984604">
                    <w:rPr>
                      <w:rFonts w:ascii="Arial" w:eastAsia="Times New Roman" w:hAnsi="Arial" w:cs="Arial"/>
                      <w:color w:val="000000"/>
                      <w:sz w:val="26"/>
                      <w:szCs w:val="26"/>
                      <w:lang w:eastAsia="pt-BR"/>
                    </w:rPr>
                    <w:t>Cel</w:t>
                  </w:r>
                  <w:proofErr w:type="spellEnd"/>
                  <w:r w:rsidRPr="00984604">
                    <w:rPr>
                      <w:rFonts w:ascii="Arial" w:eastAsia="Times New Roman" w:hAnsi="Arial" w:cs="Arial"/>
                      <w:color w:val="000000"/>
                      <w:sz w:val="26"/>
                      <w:szCs w:val="26"/>
                      <w:lang w:eastAsia="pt-BR"/>
                    </w:rPr>
                    <w:t xml:space="preserve"> PM</w:t>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Secretário Adjunto de Administração Penitenciária</w:t>
                  </w:r>
                </w:p>
                <w:p w:rsidR="00984604" w:rsidRPr="00984604" w:rsidRDefault="00984604" w:rsidP="00984604">
                  <w:pPr>
                    <w:spacing w:after="0" w:line="240" w:lineRule="auto"/>
                    <w:jc w:val="center"/>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t>(Original assinado)</w:t>
                  </w:r>
                </w:p>
                <w:p w:rsidR="00984604" w:rsidRPr="00984604" w:rsidRDefault="00984604" w:rsidP="00984604">
                  <w:pPr>
                    <w:spacing w:after="0" w:line="240" w:lineRule="auto"/>
                    <w:rPr>
                      <w:rFonts w:ascii="Arial" w:eastAsia="Times New Roman" w:hAnsi="Arial" w:cs="Arial"/>
                      <w:sz w:val="26"/>
                      <w:szCs w:val="26"/>
                      <w:lang w:eastAsia="pt-BR"/>
                    </w:rPr>
                  </w:pPr>
                  <w:r w:rsidRPr="00984604">
                    <w:rPr>
                      <w:rFonts w:ascii="Arial" w:eastAsia="Times New Roman" w:hAnsi="Arial" w:cs="Arial"/>
                      <w:color w:val="000000"/>
                      <w:sz w:val="26"/>
                      <w:szCs w:val="26"/>
                      <w:lang w:eastAsia="pt-BR"/>
                    </w:rPr>
                    <w:br/>
                  </w:r>
                </w:p>
              </w:tc>
            </w:tr>
          </w:tbl>
          <w:p w:rsidR="00984604" w:rsidRPr="00984604" w:rsidRDefault="00984604" w:rsidP="00984604">
            <w:pPr>
              <w:spacing w:after="0" w:line="240" w:lineRule="auto"/>
              <w:rPr>
                <w:rFonts w:ascii="Arial" w:eastAsia="Times New Roman" w:hAnsi="Arial" w:cs="Arial"/>
                <w:sz w:val="26"/>
                <w:szCs w:val="26"/>
                <w:lang w:eastAsia="pt-BR"/>
              </w:rPr>
            </w:pPr>
          </w:p>
        </w:tc>
      </w:tr>
    </w:tbl>
    <w:p w:rsidR="000B297B" w:rsidRPr="00984604" w:rsidRDefault="000B297B">
      <w:pPr>
        <w:rPr>
          <w:rFonts w:ascii="Arial" w:hAnsi="Arial" w:cs="Arial"/>
          <w:sz w:val="26"/>
          <w:szCs w:val="26"/>
        </w:rPr>
      </w:pPr>
    </w:p>
    <w:sectPr w:rsidR="000B297B" w:rsidRPr="009846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604"/>
    <w:rsid w:val="000B297B"/>
    <w:rsid w:val="00555167"/>
    <w:rsid w:val="009846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713487">
      <w:bodyDiv w:val="1"/>
      <w:marLeft w:val="0"/>
      <w:marRight w:val="0"/>
      <w:marTop w:val="0"/>
      <w:marBottom w:val="0"/>
      <w:divBdr>
        <w:top w:val="none" w:sz="0" w:space="0" w:color="auto"/>
        <w:left w:val="none" w:sz="0" w:space="0" w:color="auto"/>
        <w:bottom w:val="none" w:sz="0" w:space="0" w:color="auto"/>
        <w:right w:val="none" w:sz="0" w:space="0" w:color="auto"/>
      </w:divBdr>
      <w:divsChild>
        <w:div w:id="529221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1294</Words>
  <Characters>6992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DELLSINDSPEN</dc:creator>
  <cp:lastModifiedBy>Lenimar Goulart Brasileiro da Conceição</cp:lastModifiedBy>
  <cp:revision>1</cp:revision>
  <dcterms:created xsi:type="dcterms:W3CDTF">2014-07-21T12:58:00Z</dcterms:created>
  <dcterms:modified xsi:type="dcterms:W3CDTF">2015-02-05T20:17:00Z</dcterms:modified>
</cp:coreProperties>
</file>