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234" w:rsidRPr="00BC39F9" w:rsidRDefault="002B2103">
      <w:pPr>
        <w:widowControl w:val="0"/>
        <w:tabs>
          <w:tab w:val="left" w:pos="101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bookmarkStart w:id="0" w:name="page1"/>
      <w:bookmarkEnd w:id="0"/>
      <w:r w:rsidRPr="00BC39F9">
        <w:rPr>
          <w:rFonts w:ascii="Times New Roman" w:hAnsi="Times New Roman"/>
          <w:sz w:val="20"/>
          <w:szCs w:val="20"/>
          <w:lang w:val="pt-BR"/>
        </w:rPr>
        <w:t>Quinta Feira, 24 de Novembro de 2011</w:t>
      </w:r>
      <w:proofErr w:type="gramStart"/>
      <w:r w:rsidRPr="00BC39F9">
        <w:rPr>
          <w:rFonts w:ascii="Times New Roman" w:hAnsi="Times New Roman"/>
          <w:sz w:val="20"/>
          <w:szCs w:val="20"/>
          <w:lang w:val="pt-BR"/>
        </w:rPr>
        <w:t xml:space="preserve">    </w:t>
      </w:r>
      <w:proofErr w:type="gramEnd"/>
      <w:r w:rsidRPr="00BC39F9">
        <w:rPr>
          <w:rFonts w:ascii="Times New Roman" w:hAnsi="Times New Roman"/>
          <w:b/>
          <w:bCs/>
          <w:sz w:val="60"/>
          <w:szCs w:val="60"/>
          <w:lang w:val="pt-BR"/>
        </w:rPr>
        <w:t>Diário</w:t>
      </w:r>
      <w:r w:rsidR="00BC39F9">
        <w:rPr>
          <w:rFonts w:ascii="Times New Roman" w:hAnsi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18pt">
            <v:imagedata r:id="rId5" o:title=""/>
          </v:shape>
        </w:pict>
      </w:r>
      <w:r w:rsidRPr="00BC39F9">
        <w:rPr>
          <w:rFonts w:ascii="Times New Roman" w:hAnsi="Times New Roman"/>
          <w:b/>
          <w:bCs/>
          <w:sz w:val="60"/>
          <w:szCs w:val="60"/>
          <w:lang w:val="pt-BR"/>
        </w:rPr>
        <w:t xml:space="preserve">Oficial   </w:t>
      </w:r>
      <w:r w:rsidRPr="00BC39F9">
        <w:rPr>
          <w:rFonts w:ascii="Times New Roman" w:hAnsi="Times New Roman"/>
          <w:lang w:val="pt-BR"/>
        </w:rPr>
        <w:t>Nº 25688</w:t>
      </w:r>
      <w:r w:rsidRPr="00BC39F9">
        <w:rPr>
          <w:rFonts w:ascii="Times New Roman" w:hAnsi="Times New Roman"/>
          <w:sz w:val="24"/>
          <w:szCs w:val="24"/>
          <w:lang w:val="pt-BR"/>
        </w:rPr>
        <w:tab/>
      </w:r>
      <w:r w:rsidRPr="00BC39F9">
        <w:rPr>
          <w:rFonts w:ascii="Times New Roman" w:hAnsi="Times New Roman"/>
          <w:lang w:val="pt-BR"/>
        </w:rPr>
        <w:t>Página 16</w:t>
      </w:r>
    </w:p>
    <w:p w:rsidR="00F17234" w:rsidRPr="00BC39F9" w:rsidRDefault="00BC39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  <w:sectPr w:rsidR="00F17234" w:rsidRPr="00BC39F9">
          <w:pgSz w:w="11900" w:h="16838"/>
          <w:pgMar w:top="542" w:right="440" w:bottom="316" w:left="440" w:header="720" w:footer="720" w:gutter="0"/>
          <w:cols w:space="720" w:equalWidth="0">
            <w:col w:w="11020"/>
          </w:cols>
          <w:noEndnote/>
        </w:sectPr>
      </w:pPr>
      <w:r w:rsidRPr="00BC39F9">
        <w:rPr>
          <w:noProof/>
        </w:rPr>
        <w:pict>
          <v:shape id="_x0000_s1026" type="#_x0000_t75" style="position:absolute;margin-left:-6.2pt;margin-top:-31.3pt;width:563.45pt;height:785.9pt;z-index:-1;mso-position-horizontal-relative:text;mso-position-vertical-relative:text" o:allowincell="f">
            <v:imagedata r:id="rId6" o:title=""/>
          </v:shape>
        </w:pic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95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“CLÁUSULA TERCEIRA – DA VIGÊNCIA”.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proofErr w:type="gramStart"/>
      <w:r w:rsidRPr="00BC39F9">
        <w:rPr>
          <w:rFonts w:ascii="Arial" w:hAnsi="Arial" w:cs="Arial"/>
          <w:sz w:val="11"/>
          <w:szCs w:val="11"/>
          <w:lang w:val="pt-BR"/>
        </w:rPr>
        <w:t>“O prazo de vigência deste instrumento é de 240 (Duzentos e Quarenta) dias contados a partir da data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  <w:lang w:val="pt-BR"/>
        </w:rPr>
      </w:pPr>
      <w:proofErr w:type="gramEnd"/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jc w:val="both"/>
        <w:rPr>
          <w:rFonts w:ascii="Times New Roman" w:hAnsi="Times New Roman"/>
          <w:sz w:val="24"/>
          <w:szCs w:val="24"/>
          <w:lang w:val="pt-BR"/>
        </w:rPr>
      </w:pP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de</w:t>
      </w:r>
      <w:proofErr w:type="gramEnd"/>
      <w:r w:rsidRPr="00BC39F9">
        <w:rPr>
          <w:rFonts w:ascii="Arial" w:hAnsi="Arial" w:cs="Arial"/>
          <w:sz w:val="12"/>
          <w:szCs w:val="12"/>
          <w:lang w:val="pt-BR"/>
        </w:rPr>
        <w:t xml:space="preserve"> assinatura do Termo de Cooperação, podendo ser prorrogado mediante Termo Aditivo.” 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RATIFICAÇÃO: </w:t>
      </w:r>
      <w:r w:rsidRPr="00BC39F9">
        <w:rPr>
          <w:rFonts w:ascii="Arial" w:hAnsi="Arial" w:cs="Arial"/>
          <w:sz w:val="12"/>
          <w:szCs w:val="12"/>
          <w:lang w:val="pt-BR"/>
        </w:rPr>
        <w:t>Em tudo mais ficam perfeitamente ratificada as demais disposições do Termo de</w:t>
      </w: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34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Cooperação nº. 093/11, ao qual se integra este Termo Aditivo.</w:t>
      </w: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09" w:lineRule="auto"/>
        <w:ind w:left="820" w:right="1100" w:hanging="821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CONVENENTES: SECRETARIA DE ESTADO DE TRANSPORTE E PAVIMENTAÇÃO URBANA MUNICIPIO DE GAUCHO DO NORTE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0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4" w:lineRule="auto"/>
        <w:ind w:right="252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Extrato do Instrumento Contratual nº 267/2011/00/00 – SETPU Processo nº293389/2011-SETPU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Modalidade: Tomada de Preços 019/2011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4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Objeto do Contrato: Execução dos Serviços de Supervisão, Acompanhamento e Controle da Obra de Pavimentação Asfáltica, na Rodovia MT-343, Trecho: Cáceres – Porto Estrela; </w:t>
      </w:r>
      <w:proofErr w:type="spellStart"/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Sub-Trecho</w:t>
      </w:r>
      <w:proofErr w:type="spellEnd"/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: Km 10,0 ao Km 39,0, com extensão de 29,0 km.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proofErr w:type="gramStart"/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Prazo:</w:t>
      </w:r>
      <w:proofErr w:type="gramEnd"/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360 (trezentos e sessenta) dias consecutivos.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Valor: R$ 851.529,40 (oitocentos e cinquenta e um, quinhentos e vinte e nove reais e quarenta centavos).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Dotação: 25101.0001.26.782.218.1287.0700.44900000.131.1.1 conforme NE nº 25101.0001.11.02791-6 no valor de R$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50.000,00 (cinquenta mil reais).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09" w:lineRule="auto"/>
        <w:ind w:right="36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PARTES: DIEFRA ENGENHARIA E CONSULTORIA LTDA e a SECRETARIA DE ESTADO DE TRANSPORTE E PAVIMENTAÇÃO URBANA.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9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b/>
          <w:bCs/>
          <w:sz w:val="20"/>
          <w:szCs w:val="20"/>
          <w:lang w:val="pt-BR"/>
        </w:rPr>
        <w:t>SESP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24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b/>
          <w:bCs/>
          <w:sz w:val="19"/>
          <w:szCs w:val="19"/>
          <w:lang w:val="pt-BR"/>
        </w:rPr>
        <w:t>SECRETARIA DE ESTADO DE SEGURANÇA PÚBLICA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u w:val="single"/>
          <w:lang w:val="pt-BR"/>
        </w:rPr>
        <w:t>EXTRATO DO CONTRATO N° 229/2011/SESP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660" w:hanging="64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DA ESPÉCIE: Contrato que entre si celebram o ESTADO DE MATO GROSSO, por intermédio da SECRETARIA DE ESTADO DE SEGURANÇA PÚBLICA - SESP e a Empresa AGORA SOLUÇÕES EM TELCOMUNICAÇÕES LTDA.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660" w:hanging="64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DO OBJETO: contratação de empresa especializada para execução de serviços de suporte técnico e manutenção de 08 (oito) Consoles Digitais de Radiocomunicação, modelo MCC5500 de fabricação MOTOROLA, com fornecimento de peças necessárias para reposição de equipamentos e materiais que compõem o Sistema de Consoles Digitais, visando atender ao Centro Integrado de Operações de Segurança Pública – CIOSP, conforme especificações contidas no edital de Pregão n° 086/2011/SESP/MT e seus anexos.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DO VALOR: O valor global deste Contrato é de R$ 318.000,00 (trezentos e dezoito mil reais).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440" w:hanging="43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DA DOTAÇÃO ORÇAMENTÁRIA: UO: 19101/Programa: 312/Atividade: 4275; Natureza de Despesa: 33903900; Fonte: 240.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4" w:lineRule="auto"/>
        <w:ind w:left="660" w:hanging="64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DA FISCALIZAÇÃO DO CONTRATO: A fiscalização será exercida pelo Coordenador do CIOSP, Gerson Vinícius Pereira - Delegado de Polícia.</w:t>
      </w: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right="318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DA VIGÊNCIA: 24/11/2011 a 23/11/2012. DA DATA: 24/11/2011.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99" w:lineRule="auto"/>
        <w:ind w:left="440" w:hanging="43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1"/>
          <w:szCs w:val="11"/>
          <w:lang w:val="pt-BR"/>
        </w:rPr>
        <w:t xml:space="preserve">ASSINAM: DIÓGENES GOMES CURADO FILHO - Secretário de Estado de Segurança Pública/ CONTRATANTE, a </w:t>
      </w:r>
      <w:proofErr w:type="gramStart"/>
      <w:r w:rsidRPr="00BC39F9">
        <w:rPr>
          <w:rFonts w:ascii="Arial" w:hAnsi="Arial" w:cs="Arial"/>
          <w:sz w:val="11"/>
          <w:szCs w:val="11"/>
          <w:lang w:val="pt-BR"/>
        </w:rPr>
        <w:t>Sra.</w:t>
      </w:r>
      <w:proofErr w:type="gramEnd"/>
      <w:r w:rsidRPr="00BC39F9">
        <w:rPr>
          <w:rFonts w:ascii="Arial" w:hAnsi="Arial" w:cs="Arial"/>
          <w:sz w:val="11"/>
          <w:szCs w:val="11"/>
          <w:lang w:val="pt-BR"/>
        </w:rPr>
        <w:t xml:space="preserve"> - DANIELA FERREIRA DE MORAES - Empresa AGORA SOLUÇÕES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EM TELCOMUNICAÇÕES LTDA./CONTRATADA.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142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u w:val="single"/>
          <w:lang w:val="pt-BR"/>
        </w:rPr>
        <w:t>EXTRATO DO CONTRATO N° 232/2011/SESP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660" w:hanging="64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DA ESPÉCIE: Contrato que entre si celebram o ESTADO DE MATO GROSSO, por intermédio da SECRETARIA DE ESTADO DE SEGURANÇA PÚBLICA - SESP e a Empresa PAULO BORGES SOARES - ME.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660" w:hanging="64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DO OBJETO: contratação de serviço de confecção e instalação de portão eletrônico, armário e porta de aço e mesa de madeira para atender a Polícia Judiciária civil do Estado de Mato Grosso, na proposta da CONTRATADA e demais cláusulas contratuais.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DO VALOR: O valor global deste Contrato é de R$ 11.300,00 (onze mil e trezentos reais).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440" w:hanging="43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DA DOTAÇÃO ORÇAMENTÁRIA: UO: 19101/Programa: 301/303/Projeto Atividade: 3951/4259; Natureza de Despesa: 33903900; Fonte: 240/242.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660" w:hanging="645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 xml:space="preserve">DA FISCALIZAÇÃO DO CONTRATO: A fiscalização da contratação será exercida pelo fiscal do contrato, o Gerente de Controle de Aquisição da Polícia Judiciária Civil, Sr. José Carlos Lima e Sebastião Arruda de Andrade – Gerente Administrativo e Apoio Logístico da </w:t>
      </w:r>
      <w:proofErr w:type="spellStart"/>
      <w:r w:rsidRPr="00BC39F9">
        <w:rPr>
          <w:rFonts w:ascii="Arial" w:hAnsi="Arial" w:cs="Arial"/>
          <w:sz w:val="12"/>
          <w:szCs w:val="12"/>
          <w:lang w:val="pt-BR"/>
        </w:rPr>
        <w:t>Acadepol</w:t>
      </w:r>
      <w:proofErr w:type="spellEnd"/>
      <w:r w:rsidRPr="00BC39F9">
        <w:rPr>
          <w:rFonts w:ascii="Arial" w:hAnsi="Arial" w:cs="Arial"/>
          <w:sz w:val="12"/>
          <w:szCs w:val="12"/>
          <w:lang w:val="pt-BR"/>
        </w:rPr>
        <w:t>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3" w:lineRule="auto"/>
        <w:ind w:right="318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DA VIGÊNCIA: 24/11/2011 a 21/02/2012. DA DATA: 24/11/2011.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74" w:lineRule="auto"/>
        <w:ind w:left="440" w:hanging="435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 xml:space="preserve">ASSINAM: DIÓGENES GOMES CURADO FILHO - Secretário de Estado de Segurança Pública/ CONTRATANTE, o </w:t>
      </w: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Sr.</w:t>
      </w:r>
      <w:proofErr w:type="gramEnd"/>
      <w:r w:rsidRPr="00BC39F9">
        <w:rPr>
          <w:rFonts w:ascii="Arial" w:hAnsi="Arial" w:cs="Arial"/>
          <w:sz w:val="12"/>
          <w:szCs w:val="12"/>
          <w:lang w:val="pt-BR"/>
        </w:rPr>
        <w:t xml:space="preserve"> - PAULO BORGES SOARES - Empresa PAULO BORGES SOARES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- ME/CONTRATADA.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95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b/>
          <w:bCs/>
          <w:sz w:val="20"/>
          <w:szCs w:val="20"/>
          <w:lang w:val="pt-BR"/>
        </w:rPr>
        <w:t>SEJUDH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24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b/>
          <w:bCs/>
          <w:sz w:val="16"/>
          <w:szCs w:val="16"/>
          <w:lang w:val="pt-BR"/>
        </w:rPr>
        <w:t>SECRETARIA DE ESTADO DE JUSTIÇA E DIREITOS HUMANOS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39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INSTRUÇÃO NORMATIVA N.º 002/2011/SEJUDH, DE 23 DE NOVEMBRO DE 2011.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72" w:lineRule="auto"/>
        <w:ind w:left="1240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Dispõe sobre o regime de trabalho em turno -RTT- para os Agentes Penitenciários e Agentes Orientadores da Secretaria de Estado de Justiça e Direitos Humanos.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O SECRETÁRIO DE ESTADO DE JUSTIÇA E DIREITOS HUMANOS,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no uso de suas atribuições legais, </w:t>
      </w: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e</w:t>
      </w:r>
      <w:proofErr w:type="gramEnd"/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2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Considerando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o disposto no §3º, do artigo 16, da Lei Estadual </w:t>
      </w:r>
      <w:proofErr w:type="spellStart"/>
      <w:r w:rsidRPr="00BC39F9">
        <w:rPr>
          <w:rFonts w:ascii="Arial" w:hAnsi="Arial" w:cs="Arial"/>
          <w:sz w:val="12"/>
          <w:szCs w:val="12"/>
          <w:lang w:val="pt-BR"/>
        </w:rPr>
        <w:t>n.°</w:t>
      </w:r>
      <w:proofErr w:type="spellEnd"/>
      <w:r w:rsidRPr="00BC39F9">
        <w:rPr>
          <w:rFonts w:ascii="Arial" w:hAnsi="Arial" w:cs="Arial"/>
          <w:sz w:val="12"/>
          <w:szCs w:val="12"/>
          <w:lang w:val="pt-BR"/>
        </w:rPr>
        <w:t xml:space="preserve"> 8.260, de 28 de dezembro de 2004,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que prevê o regime de trabalho de 44 (quarenta e quatro) horas semanais para os integrantes da carreira de Agentes Penitenciários e Agentes Orientadores;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2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06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Considerando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o artigo 17 da Lei Complementar Estadual </w:t>
      </w:r>
      <w:proofErr w:type="spellStart"/>
      <w:r w:rsidRPr="00BC39F9">
        <w:rPr>
          <w:rFonts w:ascii="Arial" w:hAnsi="Arial" w:cs="Arial"/>
          <w:sz w:val="12"/>
          <w:szCs w:val="12"/>
          <w:lang w:val="pt-BR"/>
        </w:rPr>
        <w:t>n.°</w:t>
      </w:r>
      <w:proofErr w:type="spellEnd"/>
      <w:r w:rsidRPr="00BC39F9">
        <w:rPr>
          <w:rFonts w:ascii="Arial" w:hAnsi="Arial" w:cs="Arial"/>
          <w:sz w:val="12"/>
          <w:szCs w:val="12"/>
          <w:lang w:val="pt-BR"/>
        </w:rPr>
        <w:t xml:space="preserve"> 389, de 31 de março de 2010, que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reestrutura a carreira dos profissionais do Sistema Penitenciário;</w:t>
      </w: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06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Considerando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o artigo 4° da Lei Complementar Estadual </w:t>
      </w:r>
      <w:proofErr w:type="spellStart"/>
      <w:r w:rsidRPr="00BC39F9">
        <w:rPr>
          <w:rFonts w:ascii="Arial" w:hAnsi="Arial" w:cs="Arial"/>
          <w:sz w:val="12"/>
          <w:szCs w:val="12"/>
          <w:lang w:val="pt-BR"/>
        </w:rPr>
        <w:t>n.°</w:t>
      </w:r>
      <w:proofErr w:type="spellEnd"/>
      <w:r w:rsidRPr="00BC39F9">
        <w:rPr>
          <w:rFonts w:ascii="Arial" w:hAnsi="Arial" w:cs="Arial"/>
          <w:sz w:val="12"/>
          <w:szCs w:val="12"/>
          <w:lang w:val="pt-BR"/>
        </w:rPr>
        <w:t xml:space="preserve"> 423, de 26 de maio de 2011, que reduz a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carga horária dos Agentes Penitenciários para 40 (quarenta) horas semanais;</w:t>
      </w: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Considerando </w:t>
      </w:r>
      <w:r w:rsidRPr="00BC39F9">
        <w:rPr>
          <w:rFonts w:ascii="Arial" w:hAnsi="Arial" w:cs="Arial"/>
          <w:sz w:val="12"/>
          <w:szCs w:val="12"/>
          <w:lang w:val="pt-BR"/>
        </w:rPr>
        <w:t>o princípio da isonomia, aqui aplicado aos profissionais Agentes Orientadores;</w:t>
      </w: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82" w:lineRule="exact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Times New Roman" w:hAnsi="Times New Roman"/>
          <w:sz w:val="24"/>
          <w:szCs w:val="24"/>
          <w:lang w:val="pt-BR"/>
        </w:rPr>
        <w:br w:type="column"/>
      </w: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04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Considerando </w:t>
      </w:r>
      <w:r w:rsidRPr="00BC39F9">
        <w:rPr>
          <w:rFonts w:ascii="Arial" w:hAnsi="Arial" w:cs="Arial"/>
          <w:sz w:val="12"/>
          <w:szCs w:val="12"/>
          <w:lang w:val="pt-BR"/>
        </w:rPr>
        <w:t>que as categorias necessitam de maior intervalo de descanso para melhor se refazerem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psicologicamente das atribuições que lhe competem;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 Narrow" w:hAnsi="Arial Narrow" w:cs="Arial Narrow"/>
          <w:b/>
          <w:bCs/>
          <w:sz w:val="12"/>
          <w:szCs w:val="12"/>
        </w:rPr>
        <w:t>RESOLVE:</w:t>
      </w:r>
    </w:p>
    <w:p w:rsidR="00F17234" w:rsidRDefault="00F17234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1º </w:t>
      </w:r>
      <w:r w:rsidRPr="00BC39F9">
        <w:rPr>
          <w:rFonts w:ascii="Arial" w:hAnsi="Arial" w:cs="Arial"/>
          <w:sz w:val="12"/>
          <w:szCs w:val="12"/>
          <w:lang w:val="pt-BR"/>
        </w:rPr>
        <w:t>Regulamentar o Regime de Trabalho em Turno - RTT para os Agentes Penitenciários e Agentes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Orientadores, estabelecido em turno de 24 (vinte e quatro) horas de trabalho, seguido de 72 (setenta e duas) horas de descanso.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7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2º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Os servidores </w:t>
      </w: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Agentes Penitenciário</w:t>
      </w:r>
      <w:proofErr w:type="gramEnd"/>
      <w:r w:rsidRPr="00BC39F9">
        <w:rPr>
          <w:rFonts w:ascii="Arial" w:hAnsi="Arial" w:cs="Arial"/>
          <w:sz w:val="12"/>
          <w:szCs w:val="12"/>
          <w:lang w:val="pt-BR"/>
        </w:rPr>
        <w:t xml:space="preserve"> e Orientador que trabalharem no RTT especificado no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artigo anterior, para fins de cumprimento da carga horária máxima semanal de 40 (quarenta) horas semanais, farão jus, ainda, a uma folga mensal correspondente a 24 (vinte e quatro) horas em que fariam o plantão, sendo: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6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I – A cada mês, o s</w:t>
      </w:r>
      <w:r w:rsidR="00BC39F9">
        <w:rPr>
          <w:rFonts w:ascii="Arial" w:hAnsi="Arial" w:cs="Arial"/>
          <w:sz w:val="12"/>
          <w:szCs w:val="12"/>
          <w:lang w:val="pt-BR"/>
        </w:rPr>
        <w:t>e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rvidor agente será beneficiado com o plantão de folga de 24 (vinte e quatro) horas, a ser concedida pela Direção da Unidade e obedecida </w:t>
      </w: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a</w:t>
      </w:r>
      <w:proofErr w:type="gramEnd"/>
      <w:r w:rsidRPr="00BC39F9">
        <w:rPr>
          <w:rFonts w:ascii="Arial" w:hAnsi="Arial" w:cs="Arial"/>
          <w:sz w:val="12"/>
          <w:szCs w:val="12"/>
          <w:lang w:val="pt-BR"/>
        </w:rPr>
        <w:t xml:space="preserve"> escala de plantões já fixada, </w:t>
      </w:r>
      <w:bookmarkStart w:id="1" w:name="_GoBack"/>
      <w:bookmarkEnd w:id="1"/>
      <w:r w:rsidRPr="00BC39F9">
        <w:rPr>
          <w:rFonts w:ascii="Arial" w:hAnsi="Arial" w:cs="Arial"/>
          <w:sz w:val="12"/>
          <w:szCs w:val="12"/>
          <w:lang w:val="pt-BR"/>
        </w:rPr>
        <w:t>sem prejuízo do descanso de 72 (setenta e duas) horas posteriores à folga, devendo o Diretor encaminhar tais informações à Superintendência de Gestão de Pessoas da Secretaria Adjunta Executiva do Núcleo Segurança;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36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 xml:space="preserve">II – As folgas deverão ser gozadas no mês de vigência dos plantões, não sendo </w:t>
      </w: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cumulativas, perdendo tal</w:t>
      </w:r>
      <w:proofErr w:type="gramEnd"/>
      <w:r w:rsidRPr="00BC39F9">
        <w:rPr>
          <w:rFonts w:ascii="Arial" w:hAnsi="Arial" w:cs="Arial"/>
          <w:sz w:val="12"/>
          <w:szCs w:val="12"/>
          <w:lang w:val="pt-BR"/>
        </w:rPr>
        <w:t xml:space="preserve"> direito o servidor agente que não a utilizar no mês.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Parágrafo único. A folga do plantão de que trata este artigo tem por finalidade a compensação da carga horária regular de 40 (quarenta) horas semanais.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3º </w:t>
      </w:r>
      <w:r w:rsidRPr="00BC39F9">
        <w:rPr>
          <w:rFonts w:ascii="Arial" w:hAnsi="Arial" w:cs="Arial"/>
          <w:sz w:val="12"/>
          <w:szCs w:val="12"/>
          <w:lang w:val="pt-BR"/>
        </w:rPr>
        <w:t>Será permitido o registro de assiduidade com até 15 minutos de atraso na entrada em cada um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dos turnos, não gerando qualquer desconto em folha, desde que compensado o atraso no mesmo dia.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4º </w:t>
      </w:r>
      <w:r w:rsidRPr="00BC39F9">
        <w:rPr>
          <w:rFonts w:ascii="Arial" w:hAnsi="Arial" w:cs="Arial"/>
          <w:sz w:val="12"/>
          <w:szCs w:val="12"/>
          <w:lang w:val="pt-BR"/>
        </w:rPr>
        <w:t>A falta injustificada ao trabalho implicará, também, no desconto no subsídio referente aos dias de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folga, ou seja, será descontado o dia trabalhado e os dias de folga, nos termos da Lei Complementar Estadual </w:t>
      </w:r>
      <w:proofErr w:type="spellStart"/>
      <w:r w:rsidRPr="00BC39F9">
        <w:rPr>
          <w:rFonts w:ascii="Arial" w:hAnsi="Arial" w:cs="Arial"/>
          <w:sz w:val="12"/>
          <w:szCs w:val="12"/>
          <w:lang w:val="pt-BR"/>
        </w:rPr>
        <w:t>n.°</w:t>
      </w:r>
      <w:proofErr w:type="spellEnd"/>
      <w:r w:rsidRPr="00BC39F9">
        <w:rPr>
          <w:rFonts w:ascii="Arial" w:hAnsi="Arial" w:cs="Arial"/>
          <w:sz w:val="12"/>
          <w:szCs w:val="12"/>
          <w:lang w:val="pt-BR"/>
        </w:rPr>
        <w:t xml:space="preserve"> 04/1990.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04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5º </w:t>
      </w:r>
      <w:r w:rsidRPr="00BC39F9">
        <w:rPr>
          <w:rFonts w:ascii="Arial" w:hAnsi="Arial" w:cs="Arial"/>
          <w:sz w:val="12"/>
          <w:szCs w:val="12"/>
          <w:lang w:val="pt-BR"/>
        </w:rPr>
        <w:t>A falta justificada no dia do plantão, através de atestado médico, gera ao servidor o dever de se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apresentar para a direção da unidade no dia seguinte ou em dia marcado pelo Diretor.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§1° </w:t>
      </w:r>
      <w:r w:rsidRPr="00BC39F9">
        <w:rPr>
          <w:rFonts w:ascii="Arial" w:hAnsi="Arial" w:cs="Arial"/>
          <w:sz w:val="12"/>
          <w:szCs w:val="12"/>
          <w:lang w:val="pt-BR"/>
        </w:rPr>
        <w:t>O desconto dos dias de folga será também imputado ao servidor que, tendo apresentado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justificativa de falta, recusar-se a trabalhar no dia imediatamente posterior ao dia abonado ou em outro dia a ser definido pela direção da unidade.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04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§2° </w:t>
      </w:r>
      <w:r w:rsidRPr="00BC39F9">
        <w:rPr>
          <w:rFonts w:ascii="Arial" w:hAnsi="Arial" w:cs="Arial"/>
          <w:sz w:val="12"/>
          <w:szCs w:val="12"/>
          <w:lang w:val="pt-BR"/>
        </w:rPr>
        <w:t>O registro da justificativa da falta deverá ser feita ao Diretor da Unidade até o segundo dia útil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após a ocorrência.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§3° </w:t>
      </w:r>
      <w:r w:rsidRPr="00BC39F9">
        <w:rPr>
          <w:rFonts w:ascii="Arial" w:hAnsi="Arial" w:cs="Arial"/>
          <w:sz w:val="12"/>
          <w:szCs w:val="12"/>
          <w:lang w:val="pt-BR"/>
        </w:rPr>
        <w:t>O servidor em licença para tratamento de saúde superior a 03 (três) dias, deverá solicitar ao seu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superior imediato, ou diretamente à Superintendência de Gestão de Pessoas da Secretaria Adjunta Executiva do Núcleo Segurança, a GPM – Guia para Perícia Médica e agendar a data de realização junto à Coordenadoria de Perícia Médica Oficial da Secretaria de Estado de Administração de Mato Grosso – SAD.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6º </w:t>
      </w:r>
      <w:r w:rsidRPr="00BC39F9">
        <w:rPr>
          <w:rFonts w:ascii="Arial" w:hAnsi="Arial" w:cs="Arial"/>
          <w:sz w:val="12"/>
          <w:szCs w:val="12"/>
          <w:lang w:val="pt-BR"/>
        </w:rPr>
        <w:t>Será concedido horário especial aos servidores plantonistas que estiverem matriculados em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curso de nível superior ou especialização, quando comprovada a incompatibilidade entre os horários, sem prejuízo do exercício do cargo e da jornada semanal de trabalho.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Parágrafo único. </w:t>
      </w:r>
      <w:r w:rsidRPr="00BC39F9">
        <w:rPr>
          <w:rFonts w:ascii="Arial" w:hAnsi="Arial" w:cs="Arial"/>
          <w:sz w:val="12"/>
          <w:szCs w:val="12"/>
          <w:lang w:val="pt-BR"/>
        </w:rPr>
        <w:t>A jornada semanal de trabalho deverá ser compensada na mesma semana.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66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7º </w:t>
      </w:r>
      <w:r w:rsidRPr="00BC39F9">
        <w:rPr>
          <w:rFonts w:ascii="Arial" w:hAnsi="Arial" w:cs="Arial"/>
          <w:sz w:val="12"/>
          <w:szCs w:val="12"/>
          <w:lang w:val="pt-BR"/>
        </w:rPr>
        <w:t>Os Diretores das Unidades Penitenciárias e Socioeducativas deverão encaminhar as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comunicações de faltas aos respectivos Superintendentes todas as segundas-feiras, ou, no caso de feriado ou ponto facultativo, no primeiro dia útil subsequente, ocasião em que, após conhecimento e deliberação, será encaminhado por este último à Superintendência de Gestão de Pessoas da Secretaria Adjunta do Núcleo Segurança.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7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8º </w:t>
      </w:r>
      <w:r w:rsidRPr="00BC39F9">
        <w:rPr>
          <w:rFonts w:ascii="Arial" w:hAnsi="Arial" w:cs="Arial"/>
          <w:sz w:val="12"/>
          <w:szCs w:val="12"/>
          <w:lang w:val="pt-BR"/>
        </w:rPr>
        <w:t>Os Diretores das Unidades Penitenciárias e Socioeducativas deverão encaminhar o boletim de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frequência mensalmente aos respectivos Superintendentes, até o 5º dia útil do mês, devendo </w:t>
      </w: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anotar</w:t>
      </w:r>
      <w:proofErr w:type="gramEnd"/>
      <w:r w:rsidRPr="00BC39F9">
        <w:rPr>
          <w:rFonts w:ascii="Arial" w:hAnsi="Arial" w:cs="Arial"/>
          <w:sz w:val="12"/>
          <w:szCs w:val="12"/>
          <w:lang w:val="pt-BR"/>
        </w:rPr>
        <w:t xml:space="preserve"> </w:t>
      </w:r>
      <w:proofErr w:type="gramStart"/>
      <w:r w:rsidRPr="00BC39F9">
        <w:rPr>
          <w:rFonts w:ascii="Arial" w:hAnsi="Arial" w:cs="Arial"/>
          <w:sz w:val="12"/>
          <w:szCs w:val="12"/>
          <w:lang w:val="pt-BR"/>
        </w:rPr>
        <w:t>as</w:t>
      </w:r>
      <w:proofErr w:type="gramEnd"/>
      <w:r w:rsidRPr="00BC39F9">
        <w:rPr>
          <w:rFonts w:ascii="Arial" w:hAnsi="Arial" w:cs="Arial"/>
          <w:sz w:val="12"/>
          <w:szCs w:val="12"/>
          <w:lang w:val="pt-BR"/>
        </w:rPr>
        <w:t xml:space="preserve"> faltas, computando também as faltas referentes aos dias de descanso não devidos, anexando os atestados médicos referentes às faltas justificadas.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1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9º </w:t>
      </w:r>
      <w:r w:rsidRPr="00BC39F9">
        <w:rPr>
          <w:rFonts w:ascii="Arial" w:hAnsi="Arial" w:cs="Arial"/>
          <w:sz w:val="12"/>
          <w:szCs w:val="12"/>
          <w:lang w:val="pt-BR"/>
        </w:rPr>
        <w:t>Os Diretores das Unidades Penitenciárias e Socioeducativas deverão encaminhar aos respectivos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Superintendentes a escala de trabalho dos Agentes Penitenciários e Agentes Orientadores, até o dia 25 de cada mês, referente ao mês subsequente.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10 </w:t>
      </w:r>
      <w:r w:rsidRPr="00BC39F9">
        <w:rPr>
          <w:rFonts w:ascii="Arial" w:hAnsi="Arial" w:cs="Arial"/>
          <w:sz w:val="12"/>
          <w:szCs w:val="12"/>
          <w:lang w:val="pt-BR"/>
        </w:rPr>
        <w:t>Esta Instrução Normativa entra em vigor na data de sua publicação.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10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Art. 11 </w:t>
      </w:r>
      <w:r w:rsidRPr="00BC39F9">
        <w:rPr>
          <w:rFonts w:ascii="Arial" w:hAnsi="Arial" w:cs="Arial"/>
          <w:sz w:val="12"/>
          <w:szCs w:val="12"/>
          <w:lang w:val="pt-BR"/>
        </w:rPr>
        <w:t xml:space="preserve">Revogam-se as disposições em contrário, em especial a Instrução Normativa </w:t>
      </w:r>
      <w:proofErr w:type="spellStart"/>
      <w:r w:rsidRPr="00BC39F9">
        <w:rPr>
          <w:rFonts w:ascii="Arial" w:hAnsi="Arial" w:cs="Arial"/>
          <w:sz w:val="12"/>
          <w:szCs w:val="12"/>
          <w:lang w:val="pt-BR"/>
        </w:rPr>
        <w:t>n.°</w:t>
      </w:r>
      <w:proofErr w:type="spellEnd"/>
      <w:r w:rsidRPr="00BC39F9">
        <w:rPr>
          <w:rFonts w:ascii="Arial" w:hAnsi="Arial" w:cs="Arial"/>
          <w:sz w:val="12"/>
          <w:szCs w:val="12"/>
          <w:lang w:val="pt-BR"/>
        </w:rPr>
        <w:t xml:space="preserve"> 01/2011/</w:t>
      </w: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 xml:space="preserve"> </w:t>
      </w:r>
      <w:r w:rsidRPr="00BC39F9">
        <w:rPr>
          <w:rFonts w:ascii="Arial" w:hAnsi="Arial" w:cs="Arial"/>
          <w:sz w:val="12"/>
          <w:szCs w:val="12"/>
          <w:lang w:val="pt-BR"/>
        </w:rPr>
        <w:t>SEJUDH, de 19/04/2011, publicada em 27/04/2011.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REGISTRE-SE.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PUBLIQUE-SE.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CUMPRA - SE.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Cuiabá – MT, 23 de novembro de 2011.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b/>
          <w:bCs/>
          <w:sz w:val="20"/>
          <w:szCs w:val="20"/>
          <w:lang w:val="pt-BR"/>
        </w:rPr>
        <w:t>SEDUC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16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ind w:left="22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b/>
          <w:bCs/>
          <w:sz w:val="24"/>
          <w:szCs w:val="24"/>
          <w:lang w:val="pt-BR"/>
        </w:rPr>
        <w:t>SECRETARIA DE ESTADO DE EDUCAÇÃO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Lauda 294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4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EXTRATO DO 10º TERMO ADITIVO AO CONVÊNIO Nº 093/2008.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PARTES: Secretaria de Estado de Educação, CNPF/MF 03.507.415/0008-10 e a Prefeitura Municipal de Sorriso/MT, CNPJ/MF 03.239.076/0001-62.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2" w:lineRule="auto"/>
        <w:jc w:val="both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OBJETO: O presente Termo Aditivo tem por objetivo alterar a Cláusula Sexta – da Vigência do Termo de Convênio Nº 093/2008, construção de uma unidade escolar com 12 salas de aula, sala de informática, biblioteca, administração, sala de professores, conjunto de banheiros M/F, praça de recreação, muro em gradil, e cozinha com refeitório, que passa a ter a seguinte redação: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88" w:lineRule="auto"/>
        <w:ind w:right="2060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A vigência do convênio passa de 02/11/2011 para 02/04/2012. Assinatura: 21/11/2011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92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 Narrow" w:hAnsi="Arial Narrow" w:cs="Arial Narrow"/>
          <w:b/>
          <w:bCs/>
          <w:sz w:val="12"/>
          <w:szCs w:val="12"/>
          <w:lang w:val="pt-BR"/>
        </w:rPr>
        <w:t>EXTRATO DO 07º TERMO ADITIVO AO CONVÊNIO Nº 215/2008.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252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2"/>
          <w:szCs w:val="12"/>
          <w:lang w:val="pt-BR"/>
        </w:rPr>
        <w:t>PARTES: Secretaria de Estado de Educação, CNPF/MF 03.507.415/0008-10 e a Prefeitura Municipal de Mirassol do Oeste/MT, CNPJ/MF 03.755.477/0001-75.</w:t>
      </w:r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  <w:lang w:val="pt-BR"/>
        </w:rPr>
      </w:pPr>
    </w:p>
    <w:p w:rsidR="00F17234" w:rsidRPr="00BC39F9" w:rsidRDefault="002B2103">
      <w:pPr>
        <w:widowControl w:val="0"/>
        <w:overflowPunct w:val="0"/>
        <w:autoSpaceDE w:val="0"/>
        <w:autoSpaceDN w:val="0"/>
        <w:adjustRightInd w:val="0"/>
        <w:spacing w:after="0" w:line="336" w:lineRule="auto"/>
        <w:rPr>
          <w:rFonts w:ascii="Times New Roman" w:hAnsi="Times New Roman"/>
          <w:sz w:val="24"/>
          <w:szCs w:val="24"/>
          <w:lang w:val="pt-BR"/>
        </w:rPr>
      </w:pPr>
      <w:r w:rsidRPr="00BC39F9">
        <w:rPr>
          <w:rFonts w:ascii="Arial" w:hAnsi="Arial" w:cs="Arial"/>
          <w:sz w:val="11"/>
          <w:szCs w:val="11"/>
          <w:lang w:val="pt-BR"/>
        </w:rPr>
        <w:t xml:space="preserve">OBJETO: O presente Termo Aditivo tem por objetivo alterar a Cláusula Sexta – da Vigência do Termo de Convênio Nº 215/2008, reforma parcial ampliação dos sanitários e instalações </w:t>
      </w:r>
      <w:proofErr w:type="spellStart"/>
      <w:r w:rsidRPr="00BC39F9">
        <w:rPr>
          <w:rFonts w:ascii="Arial" w:hAnsi="Arial" w:cs="Arial"/>
          <w:sz w:val="11"/>
          <w:szCs w:val="11"/>
          <w:lang w:val="pt-BR"/>
        </w:rPr>
        <w:t>hidrossanitárias</w:t>
      </w:r>
      <w:proofErr w:type="spellEnd"/>
      <w:r w:rsidRPr="00BC39F9">
        <w:rPr>
          <w:rFonts w:ascii="Arial" w:hAnsi="Arial" w:cs="Arial"/>
          <w:sz w:val="11"/>
          <w:szCs w:val="11"/>
          <w:lang w:val="pt-BR"/>
        </w:rPr>
        <w:t xml:space="preserve"> </w:t>
      </w:r>
      <w:proofErr w:type="gramStart"/>
      <w:r w:rsidRPr="00BC39F9">
        <w:rPr>
          <w:rFonts w:ascii="Arial" w:hAnsi="Arial" w:cs="Arial"/>
          <w:sz w:val="11"/>
          <w:szCs w:val="11"/>
          <w:lang w:val="pt-BR"/>
        </w:rPr>
        <w:t>e</w:t>
      </w:r>
      <w:proofErr w:type="gramEnd"/>
    </w:p>
    <w:p w:rsidR="00F17234" w:rsidRPr="00BC39F9" w:rsidRDefault="00F172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</w:p>
    <w:sectPr w:rsidR="00F17234" w:rsidRPr="00BC39F9">
      <w:type w:val="continuous"/>
      <w:pgSz w:w="11900" w:h="16838"/>
      <w:pgMar w:top="542" w:right="420" w:bottom="316" w:left="420" w:header="720" w:footer="720" w:gutter="0"/>
      <w:cols w:num="2" w:space="280" w:equalWidth="0">
        <w:col w:w="5400" w:space="280"/>
        <w:col w:w="53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057A"/>
    <w:rsid w:val="0022057A"/>
    <w:rsid w:val="002B2103"/>
    <w:rsid w:val="00BC39F9"/>
    <w:rsid w:val="00F1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1641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George Lucas de Moraes</cp:lastModifiedBy>
  <cp:revision>4</cp:revision>
  <dcterms:created xsi:type="dcterms:W3CDTF">2015-05-12T14:26:00Z</dcterms:created>
  <dcterms:modified xsi:type="dcterms:W3CDTF">2015-05-12T14:27:00Z</dcterms:modified>
</cp:coreProperties>
</file>