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3864"/>
          <w:sz w:val="40"/>
          <w:szCs w:val="40"/>
        </w:rPr>
        <w:t xml:space="preserve">System Architecture Documentation</w:t>
      </w:r>
    </w:p>
    <w:p>
      <w:pPr>
        <w:spacing w:after="100" w:before="200"/>
        <w:jc w:val="center"/>
      </w:pPr>
      <w:r>
        <w:rPr>
          <w:rFonts w:ascii="Calibri" w:cs="Calibri" w:eastAsia="Calibri" w:hAnsi="Calibri"/>
          <w:b/>
          <w:bCs/>
          <w:color w:val="2E5395"/>
          <w:sz w:val="30"/>
          <w:szCs w:val="30"/>
        </w:rPr>
        <w:t xml:space="preserve">DYS Sales Tracker Management System</w:t>
      </w:r>
    </w:p>
    <w:p>
      <w:pPr>
        <w:spacing w:after="100" w:before="100"/>
        <w:jc w:val="center"/>
      </w:pPr>
      <w:r>
        <w:rPr>
          <w:rFonts w:ascii="Calibri" w:cs="Calibri" w:eastAsia="Calibri" w:hAnsi="Calibri"/>
          <w:i/>
          <w:iCs/>
          <w:color w:val="555555"/>
          <w:sz w:val="22"/>
          <w:szCs w:val="22"/>
        </w:rPr>
        <w:t xml:space="preserve">A Software Engineering Blueprint Artifact</w:t>
      </w:r>
    </w:p>
    <w:p>
      <w:pPr>
        <w:spacing w:before="600"/>
        <w:jc w:val="center"/>
      </w:pPr>
      <w:r>
        <w:rPr>
          <w:rFonts w:ascii="Calibri" w:cs="Calibri" w:eastAsia="Calibri" w:hAnsi="Calibri"/>
          <w:sz w:val="22"/>
          <w:szCs w:val="22"/>
        </w:rPr>
        <w:t xml:space="preserve">Prepared for DYS Events Management</w:t>
      </w:r>
    </w:p>
    <w:p>
      <w:pPr>
        <w:spacing w:before="100"/>
        <w:jc w:val="center"/>
      </w:pPr>
      <w:r>
        <w:rPr>
          <w:rFonts w:ascii="Calibri" w:cs="Calibri" w:eastAsia="Calibri" w:hAnsi="Calibri"/>
          <w:sz w:val="22"/>
          <w:szCs w:val="22"/>
        </w:rPr>
        <w:t xml:space="preserve">COMSCI 3100 – Systems Analysis and Design</w:t>
      </w:r>
    </w:p>
    <w:p>
      <w:pPr>
        <w:spacing w:after="800" w:before="100"/>
        <w:jc w:val="center"/>
      </w:pPr>
      <w:r>
        <w:rPr>
          <w:rFonts w:ascii="Calibri" w:cs="Calibri" w:eastAsia="Calibri" w:hAnsi="Calibri"/>
          <w:sz w:val="22"/>
          <w:szCs w:val="22"/>
        </w:rPr>
        <w:t xml:space="preserve">1st Semester, SY 2026–2027</w:t>
      </w:r>
    </w:p>
    <w:p>
      <w:pPr>
        <w:pageBreakBefore/>
      </w:pPr>
      <w:r>
        <w:br/>
        <w:t xml:space="preserve"/>
      </w:r>
    </w:p>
    <w:p>
      <w:pPr>
        <w:pStyle w:val="Heading1"/>
        <w:spacing w:after="200" w:before="400"/>
      </w:pPr>
      <w:r>
        <w:rPr>
          <w:rFonts w:ascii="Calibri" w:cs="Calibri" w:eastAsia="Calibri" w:hAnsi="Calibri"/>
          <w:b/>
          <w:bCs/>
          <w:color w:val="1F3864"/>
          <w:sz w:val="28"/>
          <w:szCs w:val="28"/>
        </w:rPr>
        <w:t xml:space="preserve">1. Introduction</w:t>
      </w:r>
    </w:p>
    <w:p>
      <w:pPr>
        <w:spacing w:after="200" w:line="276"/>
        <w:jc w:val="both"/>
      </w:pPr>
      <w:r>
        <w:rPr>
          <w:rFonts w:ascii="Calibri" w:cs="Calibri" w:eastAsia="Calibri" w:hAnsi="Calibri"/>
          <w:sz w:val="22"/>
          <w:szCs w:val="22"/>
        </w:rPr>
        <w:t xml:space="preserve">The System Architecture translates the business requirements in the approved Concept Paper into a structured, implementable design. It defines the major architectural layers, the components within each layer, and how these components communicate to deliver the functionality required by DYS Events Management.</w:t>
      </w:r>
    </w:p>
    <w:p>
      <w:pPr>
        <w:spacing w:after="200" w:line="276"/>
        <w:jc w:val="both"/>
      </w:pPr>
      <w:r>
        <w:rPr>
          <w:rFonts w:ascii="Calibri" w:cs="Calibri" w:eastAsia="Calibri" w:hAnsi="Calibri"/>
          <w:sz w:val="22"/>
          <w:szCs w:val="22"/>
        </w:rPr>
        <w:t xml:space="preserve">This architecture provides a technical foundation for developing the mobile application, ensuring that each component supports an approved business requirement. It outlines how user requests are received, processed, and stored, and how results are returned to the user in a secure, organized manner.</w:t>
      </w:r>
    </w:p>
    <w:p>
      <w:pPr>
        <w:spacing w:after="200" w:line="276"/>
        <w:jc w:val="both"/>
      </w:pPr>
      <w:r>
        <w:rPr>
          <w:rFonts w:ascii="Calibri" w:cs="Calibri" w:eastAsia="Calibri" w:hAnsi="Calibri"/>
          <w:sz w:val="22"/>
          <w:szCs w:val="22"/>
        </w:rPr>
        <w:t xml:space="preserve">This architecture is derived entirely from the approved Concept Paper and reflects only the features, user roles, and business processes explicitly stated therein: the Automated Financial Calculator, the Automated Payroll Calculator, Role-Based Access Control, the Business Sector Switcher, and the Interactive Visual Analytics Dashboard. No additional features, workflows, or technologies are introduced. It serves as the reference architecture for the succeeding design artifacts, including the Use Case Diagram, the Entity-Relationship Diagram, and the Database Schema.</w:t>
      </w:r>
    </w:p>
    <w:p>
      <w:pPr>
        <w:pStyle w:val="Heading1"/>
        <w:spacing w:after="200" w:before="400"/>
      </w:pPr>
      <w:r>
        <w:rPr>
          <w:rFonts w:ascii="Calibri" w:cs="Calibri" w:eastAsia="Calibri" w:hAnsi="Calibri"/>
          <w:b/>
          <w:bCs/>
          <w:color w:val="1F3864"/>
          <w:sz w:val="28"/>
          <w:szCs w:val="28"/>
        </w:rPr>
        <w:t xml:space="preserve">2. Architectural Overview</w:t>
      </w:r>
    </w:p>
    <w:p>
      <w:pPr>
        <w:spacing w:after="200" w:line="276"/>
        <w:jc w:val="both"/>
      </w:pPr>
      <w:r>
        <w:rPr>
          <w:rFonts w:ascii="Calibri" w:cs="Calibri" w:eastAsia="Calibri" w:hAnsi="Calibri"/>
          <w:sz w:val="22"/>
          <w:szCs w:val="22"/>
        </w:rPr>
        <w:t xml:space="preserve">The DYS Sales Tracker Management System is organized into four layers: the Client Tier, the API Communication Layer, the Backend Application Layer, and the Data Tier. Each layer represents a different level of abstraction, from presenting information to the user, through business logic, to persistent data storage.</w:t>
      </w:r>
    </w:p>
    <w:p>
      <w:pPr>
        <w:spacing w:after="200" w:line="276"/>
        <w:jc w:val="both"/>
      </w:pPr>
      <w:r>
        <w:rPr>
          <w:rFonts w:ascii="Calibri" w:cs="Calibri" w:eastAsia="Calibri" w:hAnsi="Calibri"/>
          <w:sz w:val="22"/>
          <w:szCs w:val="22"/>
        </w:rPr>
        <w:t xml:space="preserve">Each layer communicates only with its immediately adjacent layer. The Client Tier sends requests through the API Communication Layer to the Backend Application Layer, which interacts with the Data Tier to retrieve or persist information. Responses follow the reverse path back to the user as updated interface elements, computed values, or visual reports. No layer bypasses another, maintaining the defined layered structure of the system.</w:t>
      </w:r>
    </w:p>
    <w:p>
      <w:pPr>
        <w:spacing w:after="200" w:line="276"/>
        <w:jc w:val="both"/>
      </w:pPr>
      <w:r>
        <w:rPr>
          <w:rFonts w:ascii="Calibri" w:cs="Calibri" w:eastAsia="Calibri" w:hAnsi="Calibri"/>
          <w:sz w:val="22"/>
          <w:szCs w:val="22"/>
        </w:rPr>
        <w:t xml:space="preserve">A layered architecture was selected because it separates presentation, communication, business logic, and data storage into independent layers. This matches the approved technology stack, Flutter, Laravel 12, and MySQL, and suits a six-month, budget-constrained project built by a student team with limited prior experience in enterprise system design. The separation also simplifies development, testing, and future enhancements.</w:t>
      </w:r>
    </w:p>
    <w:p>
      <w:pPr>
        <w:pStyle w:val="Heading1"/>
        <w:spacing w:after="200" w:before="400"/>
      </w:pPr>
      <w:r>
        <w:rPr>
          <w:rFonts w:ascii="Calibri" w:cs="Calibri" w:eastAsia="Calibri" w:hAnsi="Calibri"/>
          <w:b/>
          <w:bCs/>
          <w:color w:val="1F3864"/>
          <w:sz w:val="28"/>
          <w:szCs w:val="28"/>
        </w:rPr>
        <w:t xml:space="preserve">3. Architecture Layers</w:t>
      </w:r>
    </w:p>
    <w:p>
      <w:pPr>
        <w:pStyle w:val="Heading2"/>
        <w:spacing w:after="150" w:before="300"/>
      </w:pPr>
      <w:r>
        <w:rPr>
          <w:rFonts w:ascii="Calibri" w:cs="Calibri" w:eastAsia="Calibri" w:hAnsi="Calibri"/>
          <w:b/>
          <w:bCs/>
          <w:color w:val="2E5395"/>
          <w:sz w:val="24"/>
          <w:szCs w:val="24"/>
        </w:rPr>
        <w:t xml:space="preserve">3.1 Client Tier</w:t>
      </w:r>
    </w:p>
    <w:p>
      <w:pPr>
        <w:spacing w:after="100" w:before="200"/>
      </w:pPr>
      <w:r>
        <w:rPr>
          <w:rFonts w:ascii="Calibri" w:cs="Calibri" w:eastAsia="Calibri" w:hAnsi="Calibri"/>
          <w:b/>
          <w:bCs/>
          <w:i/>
          <w:iCs/>
          <w:color w:val="333333"/>
          <w:sz w:val="22"/>
          <w:szCs w:val="22"/>
        </w:rPr>
        <w:t xml:space="preserve">Purpose</w:t>
      </w:r>
    </w:p>
    <w:p>
      <w:pPr>
        <w:spacing w:after="200" w:line="276"/>
        <w:jc w:val="both"/>
      </w:pPr>
      <w:r>
        <w:rPr>
          <w:rFonts w:ascii="Calibri" w:cs="Calibri" w:eastAsia="Calibri" w:hAnsi="Calibri"/>
          <w:sz w:val="22"/>
          <w:szCs w:val="22"/>
        </w:rPr>
        <w:t xml:space="preserve">The Client Tier is the user-facing component of the system, implemented as a Flutter mobile application. It presents information to the user and captures the input required to perform the operations supported by the system.</w:t>
      </w:r>
    </w:p>
    <w:p>
      <w:pPr>
        <w:spacing w:after="100" w:before="200"/>
      </w:pPr>
      <w:r>
        <w:rPr>
          <w:rFonts w:ascii="Calibri" w:cs="Calibri" w:eastAsia="Calibri" w:hAnsi="Calibri"/>
          <w:b/>
          <w:bCs/>
          <w:i/>
          <w:iCs/>
          <w:color w:val="333333"/>
          <w:sz w:val="22"/>
          <w:szCs w:val="22"/>
        </w:rPr>
        <w:t xml:space="preserve">Responsibilities</w:t>
      </w:r>
    </w:p>
    <w:p>
      <w:pPr>
        <w:spacing w:after="200" w:line="276"/>
        <w:jc w:val="both"/>
      </w:pPr>
      <w:r>
        <w:rPr>
          <w:rFonts w:ascii="Calibri" w:cs="Calibri" w:eastAsia="Calibri" w:hAnsi="Calibri"/>
          <w:sz w:val="22"/>
          <w:szCs w:val="22"/>
        </w:rPr>
        <w:t xml:space="preserve">The Client Tier displays forms for recording sales transactions and expenses, and presents payroll information. It renders the Interactive Visual Analytics Dashboard and lets users switch between the four business sectors. The layer also enforces role-based restrictions on visible interface elements and performs basic validation of user input before it is sent to the backend.</w:t>
      </w:r>
    </w:p>
    <w:p>
      <w:pPr>
        <w:spacing w:after="100" w:before="200"/>
      </w:pPr>
      <w:r>
        <w:rPr>
          <w:rFonts w:ascii="Calibri" w:cs="Calibri" w:eastAsia="Calibri" w:hAnsi="Calibri"/>
          <w:b/>
          <w:bCs/>
          <w:i/>
          <w:iCs/>
          <w:color w:val="333333"/>
          <w:sz w:val="22"/>
          <w:szCs w:val="22"/>
        </w:rPr>
        <w:t xml:space="preserve">Major Components</w:t>
      </w:r>
    </w:p>
    <w:p>
      <w:pPr>
        <w:pStyle w:val="ListParagraph"/>
        <w:numPr>
          <w:ilvl w:val="0"/>
          <w:numId w:val="2"/>
        </w:numPr>
        <w:spacing w:after="80"/>
      </w:pPr>
      <w:r>
        <w:rPr>
          <w:rFonts w:ascii="Calibri" w:cs="Calibri" w:eastAsia="Calibri" w:hAnsi="Calibri"/>
          <w:sz w:val="22"/>
          <w:szCs w:val="22"/>
        </w:rPr>
        <w:t xml:space="preserve">Login</w:t>
      </w:r>
    </w:p>
    <w:p>
      <w:pPr>
        <w:pStyle w:val="ListParagraph"/>
        <w:numPr>
          <w:ilvl w:val="0"/>
          <w:numId w:val="2"/>
        </w:numPr>
        <w:spacing w:after="80"/>
      </w:pPr>
      <w:r>
        <w:rPr>
          <w:rFonts w:ascii="Calibri" w:cs="Calibri" w:eastAsia="Calibri" w:hAnsi="Calibri"/>
          <w:sz w:val="22"/>
          <w:szCs w:val="22"/>
        </w:rPr>
        <w:t xml:space="preserve">Dashboard</w:t>
      </w:r>
    </w:p>
    <w:p>
      <w:pPr>
        <w:pStyle w:val="ListParagraph"/>
        <w:numPr>
          <w:ilvl w:val="0"/>
          <w:numId w:val="2"/>
        </w:numPr>
        <w:spacing w:after="80"/>
      </w:pPr>
      <w:r>
        <w:rPr>
          <w:rFonts w:ascii="Calibri" w:cs="Calibri" w:eastAsia="Calibri" w:hAnsi="Calibri"/>
          <w:sz w:val="22"/>
          <w:szCs w:val="22"/>
        </w:rPr>
        <w:t xml:space="preserve">Sales</w:t>
      </w:r>
    </w:p>
    <w:p>
      <w:pPr>
        <w:pStyle w:val="ListParagraph"/>
        <w:numPr>
          <w:ilvl w:val="0"/>
          <w:numId w:val="2"/>
        </w:numPr>
        <w:spacing w:after="80"/>
      </w:pPr>
      <w:r>
        <w:rPr>
          <w:rFonts w:ascii="Calibri" w:cs="Calibri" w:eastAsia="Calibri" w:hAnsi="Calibri"/>
          <w:sz w:val="22"/>
          <w:szCs w:val="22"/>
        </w:rPr>
        <w:t xml:space="preserve">Expenses</w:t>
      </w:r>
    </w:p>
    <w:p>
      <w:pPr>
        <w:pStyle w:val="ListParagraph"/>
        <w:numPr>
          <w:ilvl w:val="0"/>
          <w:numId w:val="2"/>
        </w:numPr>
        <w:spacing w:after="80"/>
      </w:pPr>
      <w:r>
        <w:rPr>
          <w:rFonts w:ascii="Calibri" w:cs="Calibri" w:eastAsia="Calibri" w:hAnsi="Calibri"/>
          <w:sz w:val="22"/>
          <w:szCs w:val="22"/>
        </w:rPr>
        <w:t xml:space="preserve">Payroll</w:t>
      </w:r>
    </w:p>
    <w:p>
      <w:pPr>
        <w:pStyle w:val="ListParagraph"/>
        <w:numPr>
          <w:ilvl w:val="0"/>
          <w:numId w:val="2"/>
        </w:numPr>
        <w:spacing w:after="80"/>
      </w:pPr>
      <w:r>
        <w:rPr>
          <w:rFonts w:ascii="Calibri" w:cs="Calibri" w:eastAsia="Calibri" w:hAnsi="Calibri"/>
          <w:sz w:val="22"/>
          <w:szCs w:val="22"/>
        </w:rPr>
        <w:t xml:space="preserve">Reports</w:t>
      </w:r>
    </w:p>
    <w:p>
      <w:pPr>
        <w:pStyle w:val="ListParagraph"/>
        <w:numPr>
          <w:ilvl w:val="0"/>
          <w:numId w:val="2"/>
        </w:numPr>
        <w:spacing w:after="80"/>
      </w:pPr>
      <w:r>
        <w:rPr>
          <w:rFonts w:ascii="Calibri" w:cs="Calibri" w:eastAsia="Calibri" w:hAnsi="Calibri"/>
          <w:sz w:val="22"/>
          <w:szCs w:val="22"/>
        </w:rPr>
        <w:t xml:space="preserve">Business Sector Switcher</w:t>
      </w:r>
    </w:p>
    <w:p>
      <w:pPr>
        <w:spacing w:after="100" w:before="200"/>
      </w:pPr>
      <w:r>
        <w:rPr>
          <w:rFonts w:ascii="Calibri" w:cs="Calibri" w:eastAsia="Calibri" w:hAnsi="Calibri"/>
          <w:b/>
          <w:bCs/>
          <w:i/>
          <w:iCs/>
          <w:color w:val="333333"/>
          <w:sz w:val="22"/>
          <w:szCs w:val="22"/>
        </w:rPr>
        <w:t xml:space="preserve">Interaction with Other Layers</w:t>
      </w:r>
    </w:p>
    <w:p>
      <w:pPr>
        <w:spacing w:after="200" w:line="276"/>
        <w:jc w:val="both"/>
      </w:pPr>
      <w:r>
        <w:rPr>
          <w:rFonts w:ascii="Calibri" w:cs="Calibri" w:eastAsia="Calibri" w:hAnsi="Calibri"/>
          <w:sz w:val="22"/>
          <w:szCs w:val="22"/>
        </w:rPr>
        <w:t xml:space="preserve">The Client Tier interacts exclusively with the API Communication Layer, sending HTTPS requests with user input and receiving JSON-formatted responses that it renders as updated interface elements, confirmation messages, or graphical reports.</w:t>
      </w:r>
    </w:p>
    <w:p>
      <w:pPr>
        <w:pStyle w:val="Heading2"/>
        <w:spacing w:after="150" w:before="300"/>
      </w:pPr>
      <w:r>
        <w:rPr>
          <w:rFonts w:ascii="Calibri" w:cs="Calibri" w:eastAsia="Calibri" w:hAnsi="Calibri"/>
          <w:b/>
          <w:bCs/>
          <w:color w:val="2E5395"/>
          <w:sz w:val="24"/>
          <w:szCs w:val="24"/>
        </w:rPr>
        <w:t xml:space="preserve">3.2 API Communication Layer</w:t>
      </w:r>
    </w:p>
    <w:p>
      <w:pPr>
        <w:spacing w:after="100" w:before="200"/>
      </w:pPr>
      <w:r>
        <w:rPr>
          <w:rFonts w:ascii="Calibri" w:cs="Calibri" w:eastAsia="Calibri" w:hAnsi="Calibri"/>
          <w:b/>
          <w:bCs/>
          <w:i/>
          <w:iCs/>
          <w:color w:val="333333"/>
          <w:sz w:val="22"/>
          <w:szCs w:val="22"/>
        </w:rPr>
        <w:t xml:space="preserve">Purpose</w:t>
      </w:r>
    </w:p>
    <w:p>
      <w:pPr>
        <w:spacing w:after="200" w:line="276"/>
        <w:jc w:val="both"/>
      </w:pPr>
      <w:r>
        <w:rPr>
          <w:rFonts w:ascii="Calibri" w:cs="Calibri" w:eastAsia="Calibri" w:hAnsi="Calibri"/>
          <w:sz w:val="22"/>
          <w:szCs w:val="22"/>
        </w:rPr>
        <w:t xml:space="preserve">The API Communication Layer is the channel through which the Client Tier and the Backend Application Layer exchange information. It provides a stateless, standardized mechanism for transmitting requests and responses between the mobile application and the backend.</w:t>
      </w:r>
    </w:p>
    <w:p>
      <w:pPr>
        <w:spacing w:after="100" w:before="200"/>
      </w:pPr>
      <w:r>
        <w:rPr>
          <w:rFonts w:ascii="Calibri" w:cs="Calibri" w:eastAsia="Calibri" w:hAnsi="Calibri"/>
          <w:b/>
          <w:bCs/>
          <w:i/>
          <w:iCs/>
          <w:color w:val="333333"/>
          <w:sz w:val="22"/>
          <w:szCs w:val="22"/>
        </w:rPr>
        <w:t xml:space="preserve">Responsibilities</w:t>
      </w:r>
    </w:p>
    <w:p>
      <w:pPr>
        <w:spacing w:after="200" w:line="276"/>
        <w:jc w:val="both"/>
      </w:pPr>
      <w:r>
        <w:rPr>
          <w:rFonts w:ascii="Calibri" w:cs="Calibri" w:eastAsia="Calibri" w:hAnsi="Calibri"/>
          <w:sz w:val="22"/>
          <w:szCs w:val="22"/>
        </w:rPr>
        <w:t xml:space="preserve">The API Communication Layer receives HTTPS requests from the Client Tier, routes them to the appropriate backend service, and returns the resulting JSON response. It also carries the authentication credentials the Backend Application Layer needs to verify the requesting user's identity.</w:t>
      </w:r>
    </w:p>
    <w:p>
      <w:pPr>
        <w:spacing w:after="100" w:before="200"/>
      </w:pPr>
      <w:r>
        <w:rPr>
          <w:rFonts w:ascii="Calibri" w:cs="Calibri" w:eastAsia="Calibri" w:hAnsi="Calibri"/>
          <w:b/>
          <w:bCs/>
          <w:i/>
          <w:iCs/>
          <w:color w:val="333333"/>
          <w:sz w:val="22"/>
          <w:szCs w:val="22"/>
        </w:rPr>
        <w:t xml:space="preserve">Major Components</w:t>
      </w:r>
    </w:p>
    <w:p>
      <w:pPr>
        <w:pStyle w:val="ListParagraph"/>
        <w:numPr>
          <w:ilvl w:val="0"/>
          <w:numId w:val="2"/>
        </w:numPr>
        <w:spacing w:after="80"/>
      </w:pPr>
      <w:r>
        <w:rPr>
          <w:rFonts w:ascii="Calibri" w:cs="Calibri" w:eastAsia="Calibri" w:hAnsi="Calibri"/>
          <w:sz w:val="22"/>
          <w:szCs w:val="22"/>
        </w:rPr>
        <w:t xml:space="preserve">REST API endpoints implemented following the HTTP/JSON protocol</w:t>
      </w:r>
    </w:p>
    <w:p>
      <w:pPr>
        <w:spacing w:after="100" w:before="200"/>
      </w:pPr>
      <w:r>
        <w:rPr>
          <w:rFonts w:ascii="Calibri" w:cs="Calibri" w:eastAsia="Calibri" w:hAnsi="Calibri"/>
          <w:b/>
          <w:bCs/>
          <w:i/>
          <w:iCs/>
          <w:color w:val="333333"/>
          <w:sz w:val="22"/>
          <w:szCs w:val="22"/>
        </w:rPr>
        <w:t xml:space="preserve">Interaction with Other Layers</w:t>
      </w:r>
    </w:p>
    <w:p>
      <w:pPr>
        <w:spacing w:after="200" w:line="276"/>
        <w:jc w:val="both"/>
      </w:pPr>
      <w:r>
        <w:rPr>
          <w:rFonts w:ascii="Calibri" w:cs="Calibri" w:eastAsia="Calibri" w:hAnsi="Calibri"/>
          <w:sz w:val="22"/>
          <w:szCs w:val="22"/>
        </w:rPr>
        <w:t xml:space="preserve">The API Communication Layer receives requests exclusively from the Client Tier and forwards them to the Backend Application Layer, then relays the resulting response back to the Client Tier to complete the request-response cycle.</w:t>
      </w:r>
    </w:p>
    <w:p>
      <w:pPr>
        <w:pStyle w:val="Heading2"/>
        <w:spacing w:after="150" w:before="300"/>
      </w:pPr>
      <w:r>
        <w:rPr>
          <w:rFonts w:ascii="Calibri" w:cs="Calibri" w:eastAsia="Calibri" w:hAnsi="Calibri"/>
          <w:b/>
          <w:bCs/>
          <w:color w:val="2E5395"/>
          <w:sz w:val="24"/>
          <w:szCs w:val="24"/>
        </w:rPr>
        <w:t xml:space="preserve">3.3 Backend Application Layer</w:t>
      </w:r>
    </w:p>
    <w:p>
      <w:pPr>
        <w:spacing w:after="100" w:before="200"/>
      </w:pPr>
      <w:r>
        <w:rPr>
          <w:rFonts w:ascii="Calibri" w:cs="Calibri" w:eastAsia="Calibri" w:hAnsi="Calibri"/>
          <w:b/>
          <w:bCs/>
          <w:i/>
          <w:iCs/>
          <w:color w:val="333333"/>
          <w:sz w:val="22"/>
          <w:szCs w:val="22"/>
        </w:rPr>
        <w:t xml:space="preserve">Purpose</w:t>
      </w:r>
    </w:p>
    <w:p>
      <w:pPr>
        <w:spacing w:after="200" w:line="276"/>
        <w:jc w:val="both"/>
      </w:pPr>
      <w:r>
        <w:rPr>
          <w:rFonts w:ascii="Calibri" w:cs="Calibri" w:eastAsia="Calibri" w:hAnsi="Calibri"/>
          <w:sz w:val="22"/>
          <w:szCs w:val="22"/>
        </w:rPr>
        <w:t xml:space="preserve">Implemented using Laravel 12, the Backend Application Layer contains the business logic of the system. It processes user requests, enforces security and access control policies, performs the financial computations required by the approved features, and coordinates access to the Data Tier.</w:t>
      </w:r>
    </w:p>
    <w:p>
      <w:pPr>
        <w:spacing w:after="100" w:before="200"/>
      </w:pPr>
      <w:r>
        <w:rPr>
          <w:rFonts w:ascii="Calibri" w:cs="Calibri" w:eastAsia="Calibri" w:hAnsi="Calibri"/>
          <w:b/>
          <w:bCs/>
          <w:i/>
          <w:iCs/>
          <w:color w:val="333333"/>
          <w:sz w:val="22"/>
          <w:szCs w:val="22"/>
        </w:rPr>
        <w:t xml:space="preserve">Responsibilities</w:t>
      </w:r>
    </w:p>
    <w:p>
      <w:pPr>
        <w:spacing w:after="200" w:line="276"/>
        <w:jc w:val="both"/>
      </w:pPr>
      <w:r>
        <w:rPr>
          <w:rFonts w:ascii="Calibri" w:cs="Calibri" w:eastAsia="Calibri" w:hAnsi="Calibri"/>
          <w:sz w:val="22"/>
          <w:szCs w:val="22"/>
        </w:rPr>
        <w:t xml:space="preserve">The Backend Application Layer authenticates users through Laravel Sanctum and enforces role-based authorization for every operation. It validates incoming data, processes sales transactions and expense records, and computes automated financial totals and payroll amounts. It also manages data for the four business sectors and prepares aggregated data for the Analytics Dashboard.</w:t>
      </w:r>
    </w:p>
    <w:p>
      <w:pPr>
        <w:spacing w:after="100" w:before="200"/>
      </w:pPr>
      <w:r>
        <w:rPr>
          <w:rFonts w:ascii="Calibri" w:cs="Calibri" w:eastAsia="Calibri" w:hAnsi="Calibri"/>
          <w:b/>
          <w:bCs/>
          <w:i/>
          <w:iCs/>
          <w:color w:val="333333"/>
          <w:sz w:val="22"/>
          <w:szCs w:val="22"/>
        </w:rPr>
        <w:t xml:space="preserve">Major Components</w:t>
      </w:r>
    </w:p>
    <w:p>
      <w:pPr>
        <w:pStyle w:val="ListParagraph"/>
        <w:numPr>
          <w:ilvl w:val="0"/>
          <w:numId w:val="2"/>
        </w:numPr>
        <w:spacing w:after="80"/>
      </w:pPr>
      <w:r>
        <w:rPr>
          <w:rFonts w:ascii="Calibri" w:cs="Calibri" w:eastAsia="Calibri" w:hAnsi="Calibri"/>
          <w:sz w:val="22"/>
          <w:szCs w:val="22"/>
        </w:rPr>
        <w:t xml:space="preserve">Authentication &amp; Role Management Service</w:t>
      </w:r>
    </w:p>
    <w:p>
      <w:pPr>
        <w:pStyle w:val="ListParagraph"/>
        <w:numPr>
          <w:ilvl w:val="0"/>
          <w:numId w:val="2"/>
        </w:numPr>
        <w:spacing w:after="80"/>
      </w:pPr>
      <w:r>
        <w:rPr>
          <w:rFonts w:ascii="Calibri" w:cs="Calibri" w:eastAsia="Calibri" w:hAnsi="Calibri"/>
          <w:sz w:val="22"/>
          <w:szCs w:val="22"/>
        </w:rPr>
        <w:t xml:space="preserve">Sales Management Service</w:t>
      </w:r>
    </w:p>
    <w:p>
      <w:pPr>
        <w:pStyle w:val="ListParagraph"/>
        <w:numPr>
          <w:ilvl w:val="0"/>
          <w:numId w:val="2"/>
        </w:numPr>
        <w:spacing w:after="80"/>
      </w:pPr>
      <w:r>
        <w:rPr>
          <w:rFonts w:ascii="Calibri" w:cs="Calibri" w:eastAsia="Calibri" w:hAnsi="Calibri"/>
          <w:sz w:val="22"/>
          <w:szCs w:val="22"/>
        </w:rPr>
        <w:t xml:space="preserve">Expense Management Service</w:t>
      </w:r>
    </w:p>
    <w:p>
      <w:pPr>
        <w:pStyle w:val="ListParagraph"/>
        <w:numPr>
          <w:ilvl w:val="0"/>
          <w:numId w:val="2"/>
        </w:numPr>
        <w:spacing w:after="80"/>
      </w:pPr>
      <w:r>
        <w:rPr>
          <w:rFonts w:ascii="Calibri" w:cs="Calibri" w:eastAsia="Calibri" w:hAnsi="Calibri"/>
          <w:sz w:val="22"/>
          <w:szCs w:val="22"/>
        </w:rPr>
        <w:t xml:space="preserve">Payroll Calculator</w:t>
      </w:r>
    </w:p>
    <w:p>
      <w:pPr>
        <w:pStyle w:val="ListParagraph"/>
        <w:numPr>
          <w:ilvl w:val="0"/>
          <w:numId w:val="2"/>
        </w:numPr>
        <w:spacing w:after="80"/>
      </w:pPr>
      <w:r>
        <w:rPr>
          <w:rFonts w:ascii="Calibri" w:cs="Calibri" w:eastAsia="Calibri" w:hAnsi="Calibri"/>
          <w:sz w:val="22"/>
          <w:szCs w:val="22"/>
        </w:rPr>
        <w:t xml:space="preserve">Financial Calculator</w:t>
      </w:r>
    </w:p>
    <w:p>
      <w:pPr>
        <w:pStyle w:val="ListParagraph"/>
        <w:numPr>
          <w:ilvl w:val="0"/>
          <w:numId w:val="2"/>
        </w:numPr>
        <w:spacing w:after="80"/>
      </w:pPr>
      <w:r>
        <w:rPr>
          <w:rFonts w:ascii="Calibri" w:cs="Calibri" w:eastAsia="Calibri" w:hAnsi="Calibri"/>
          <w:sz w:val="22"/>
          <w:szCs w:val="22"/>
        </w:rPr>
        <w:t xml:space="preserve">Business Sector Management Service</w:t>
      </w:r>
    </w:p>
    <w:p>
      <w:pPr>
        <w:pStyle w:val="ListParagraph"/>
        <w:numPr>
          <w:ilvl w:val="0"/>
          <w:numId w:val="2"/>
        </w:numPr>
        <w:spacing w:after="80"/>
      </w:pPr>
      <w:r>
        <w:rPr>
          <w:rFonts w:ascii="Calibri" w:cs="Calibri" w:eastAsia="Calibri" w:hAnsi="Calibri"/>
          <w:sz w:val="22"/>
          <w:szCs w:val="22"/>
        </w:rPr>
        <w:t xml:space="preserve">Reports &amp; Analytics Service</w:t>
      </w:r>
    </w:p>
    <w:p>
      <w:pPr>
        <w:spacing w:after="100" w:before="200"/>
      </w:pPr>
      <w:r>
        <w:rPr>
          <w:rFonts w:ascii="Calibri" w:cs="Calibri" w:eastAsia="Calibri" w:hAnsi="Calibri"/>
          <w:b/>
          <w:bCs/>
          <w:i/>
          <w:iCs/>
          <w:color w:val="333333"/>
          <w:sz w:val="22"/>
          <w:szCs w:val="22"/>
        </w:rPr>
        <w:t xml:space="preserve">Interaction with Other Layers</w:t>
      </w:r>
    </w:p>
    <w:p>
      <w:pPr>
        <w:spacing w:after="200" w:line="276"/>
        <w:jc w:val="both"/>
      </w:pPr>
      <w:r>
        <w:rPr>
          <w:rFonts w:ascii="Calibri" w:cs="Calibri" w:eastAsia="Calibri" w:hAnsi="Calibri"/>
          <w:sz w:val="22"/>
          <w:szCs w:val="22"/>
        </w:rPr>
        <w:t xml:space="preserve">The Backend Application Layer receives requests from the API Communication Layer, executes the appropriate business logic, and reads or writes persistent data in the Data Tier. It then returns the results to the API Communication Layer for transmission back to the Client Tier.</w:t>
      </w:r>
    </w:p>
    <w:p>
      <w:pPr>
        <w:pStyle w:val="Heading2"/>
        <w:spacing w:after="150" w:before="300"/>
      </w:pPr>
      <w:r>
        <w:rPr>
          <w:rFonts w:ascii="Calibri" w:cs="Calibri" w:eastAsia="Calibri" w:hAnsi="Calibri"/>
          <w:b/>
          <w:bCs/>
          <w:color w:val="2E5395"/>
          <w:sz w:val="24"/>
          <w:szCs w:val="24"/>
        </w:rPr>
        <w:t xml:space="preserve">3.4 Data Tier</w:t>
      </w:r>
    </w:p>
    <w:p>
      <w:pPr>
        <w:spacing w:after="100" w:before="200"/>
      </w:pPr>
      <w:r>
        <w:rPr>
          <w:rFonts w:ascii="Calibri" w:cs="Calibri" w:eastAsia="Calibri" w:hAnsi="Calibri"/>
          <w:b/>
          <w:bCs/>
          <w:i/>
          <w:iCs/>
          <w:color w:val="333333"/>
          <w:sz w:val="22"/>
          <w:szCs w:val="22"/>
        </w:rPr>
        <w:t xml:space="preserve">Purpose</w:t>
      </w:r>
    </w:p>
    <w:p>
      <w:pPr>
        <w:spacing w:after="200" w:line="276"/>
        <w:jc w:val="both"/>
      </w:pPr>
      <w:r>
        <w:rPr>
          <w:rFonts w:ascii="Calibri" w:cs="Calibri" w:eastAsia="Calibri" w:hAnsi="Calibri"/>
          <w:sz w:val="22"/>
          <w:szCs w:val="22"/>
        </w:rPr>
        <w:t xml:space="preserve">Implemented using a MySQL database, the Data Tier provides centralized, persistent storage for all data managed by the system. Financial and operational data for all four business sectors of DYS Events Management is stored consistently and made available only through the Backend Application Layer.</w:t>
      </w:r>
    </w:p>
    <w:p>
      <w:pPr>
        <w:spacing w:after="100" w:before="200"/>
      </w:pPr>
      <w:r>
        <w:rPr>
          <w:rFonts w:ascii="Calibri" w:cs="Calibri" w:eastAsia="Calibri" w:hAnsi="Calibri"/>
          <w:b/>
          <w:bCs/>
          <w:i/>
          <w:iCs/>
          <w:color w:val="333333"/>
          <w:sz w:val="22"/>
          <w:szCs w:val="22"/>
        </w:rPr>
        <w:t xml:space="preserve">Responsibilities</w:t>
      </w:r>
    </w:p>
    <w:p>
      <w:pPr>
        <w:spacing w:after="200" w:line="276"/>
        <w:jc w:val="both"/>
      </w:pPr>
      <w:r>
        <w:rPr>
          <w:rFonts w:ascii="Calibri" w:cs="Calibri" w:eastAsia="Calibri" w:hAnsi="Calibri"/>
          <w:sz w:val="22"/>
          <w:szCs w:val="22"/>
        </w:rPr>
        <w:t xml:space="preserve">The Data Tier stores and retrieves transaction records, expense records, user accounts, role assignments, and business sector information. It maintains the structural integrity of the stored data and supports the queries needed for financial calculations, payroll processing, and analytics aggregation.</w:t>
      </w:r>
    </w:p>
    <w:p>
      <w:pPr>
        <w:spacing w:after="100" w:before="200"/>
      </w:pPr>
      <w:r>
        <w:rPr>
          <w:rFonts w:ascii="Calibri" w:cs="Calibri" w:eastAsia="Calibri" w:hAnsi="Calibri"/>
          <w:b/>
          <w:bCs/>
          <w:i/>
          <w:iCs/>
          <w:color w:val="333333"/>
          <w:sz w:val="22"/>
          <w:szCs w:val="22"/>
        </w:rPr>
        <w:t xml:space="preserve">Major Components</w:t>
      </w:r>
    </w:p>
    <w:p>
      <w:pPr>
        <w:pStyle w:val="ListParagraph"/>
        <w:numPr>
          <w:ilvl w:val="0"/>
          <w:numId w:val="2"/>
        </w:numPr>
        <w:spacing w:after="80"/>
      </w:pPr>
      <w:r>
        <w:rPr>
          <w:rFonts w:ascii="Calibri" w:cs="Calibri" w:eastAsia="Calibri" w:hAnsi="Calibri"/>
          <w:sz w:val="22"/>
          <w:szCs w:val="22"/>
        </w:rPr>
        <w:t xml:space="preserve">Centralized MySQL database containing the User, Business Sector, Sales Transaction, and Expense data entities</w:t>
      </w:r>
    </w:p>
    <w:p>
      <w:pPr>
        <w:spacing w:after="100" w:before="200"/>
      </w:pPr>
      <w:r>
        <w:rPr>
          <w:rFonts w:ascii="Calibri" w:cs="Calibri" w:eastAsia="Calibri" w:hAnsi="Calibri"/>
          <w:b/>
          <w:bCs/>
          <w:i/>
          <w:iCs/>
          <w:color w:val="333333"/>
          <w:sz w:val="22"/>
          <w:szCs w:val="22"/>
        </w:rPr>
        <w:t xml:space="preserve">Interaction with Other Layers</w:t>
      </w:r>
    </w:p>
    <w:p>
      <w:pPr>
        <w:spacing w:after="200" w:line="276"/>
        <w:jc w:val="both"/>
      </w:pPr>
      <w:r>
        <w:rPr>
          <w:rFonts w:ascii="Calibri" w:cs="Calibri" w:eastAsia="Calibri" w:hAnsi="Calibri"/>
          <w:sz w:val="22"/>
          <w:szCs w:val="22"/>
        </w:rPr>
        <w:t xml:space="preserve">The Data Tier interacts solely with the Backend Application Layer and does not communicate directly with the Client Tier or the API Communication Layer. All data operations are mediated through backend services, which enforce validation and access control before any read or write.</w:t>
      </w:r>
    </w:p>
    <w:p>
      <w:pPr>
        <w:pStyle w:val="Heading1"/>
        <w:spacing w:after="200" w:before="400"/>
      </w:pPr>
      <w:r>
        <w:rPr>
          <w:rFonts w:ascii="Calibri" w:cs="Calibri" w:eastAsia="Calibri" w:hAnsi="Calibri"/>
          <w:b/>
          <w:bCs/>
          <w:color w:val="1F3864"/>
          <w:sz w:val="28"/>
          <w:szCs w:val="28"/>
        </w:rPr>
        <w:t xml:space="preserve">4. Data Flow</w:t>
      </w:r>
    </w:p>
    <w:p>
      <w:pPr>
        <w:spacing w:after="200" w:line="276"/>
        <w:jc w:val="both"/>
      </w:pPr>
      <w:r>
        <w:rPr>
          <w:rFonts w:ascii="Calibri" w:cs="Calibri" w:eastAsia="Calibri" w:hAnsi="Calibri"/>
          <w:sz w:val="22"/>
          <w:szCs w:val="22"/>
        </w:rPr>
        <w:t xml:space="preserve">When a user, whether a Business Owner, Event Manager, Employee or Event Staff member, or External Client, performs an operation in the mobile application, the Client Tier validates the input and sends an HTTPS request to the API Communication Layer. The request is routed to the appropriate service in the Backend Application Layer, where the system authenticates the user through Laravel Sanctum, checks role-based permissions, and validates the submitted data.</w:t>
      </w:r>
    </w:p>
    <w:p>
      <w:pPr>
        <w:spacing w:after="200" w:line="276"/>
        <w:jc w:val="both"/>
      </w:pPr>
      <w:r>
        <w:rPr>
          <w:rFonts w:ascii="Calibri" w:cs="Calibri" w:eastAsia="Calibri" w:hAnsi="Calibri"/>
          <w:sz w:val="22"/>
          <w:szCs w:val="22"/>
        </w:rPr>
        <w:t xml:space="preserve">Once these checks pass, the relevant backend service executes the required business logic, such as recording a transaction, computing a financial or payroll total, or aggregating data for the dashboard, and reads from or writes to the MySQL database as needed. The backend then formats the result as a JSON response, which passes back through the API Communication Layer to the Client Tier. The mobile application updates the interface with the requested information, a confirmation message, or a visual report, such as a chart within the Interactive Visual Analytics Dashboard.</w:t>
      </w:r>
    </w:p>
    <w:p>
      <w:pPr>
        <w:pStyle w:val="Heading1"/>
        <w:spacing w:after="200" w:before="400"/>
      </w:pPr>
      <w:r>
        <w:rPr>
          <w:rFonts w:ascii="Calibri" w:cs="Calibri" w:eastAsia="Calibri" w:hAnsi="Calibri"/>
          <w:b/>
          <w:bCs/>
          <w:color w:val="1F3864"/>
          <w:sz w:val="28"/>
          <w:szCs w:val="28"/>
        </w:rPr>
        <w:t xml:space="preserve">5. Mapping to Concept Paper</w:t>
      </w:r>
    </w:p>
    <w:p>
      <w:pPr>
        <w:spacing w:after="200" w:line="276"/>
        <w:jc w:val="both"/>
      </w:pPr>
      <w:r>
        <w:rPr>
          <w:rFonts w:ascii="Calibri" w:cs="Calibri" w:eastAsia="Calibri" w:hAnsi="Calibri"/>
          <w:sz w:val="22"/>
          <w:szCs w:val="22"/>
        </w:rPr>
        <w:t xml:space="preserve">The following section outlines how each approved requirement in the Concept Paper is satisfied by the corresponding component of the System Architecture.</w:t>
      </w:r>
    </w:p>
    <w:p>
      <w:pPr>
        <w:spacing w:after="200" w:line="276"/>
        <w:jc w:val="both"/>
      </w:pPr>
      <w:r>
        <w:rPr>
          <w:rFonts w:ascii="Calibri" w:cs="Calibri" w:eastAsia="Calibri" w:hAnsi="Calibri"/>
          <w:sz w:val="22"/>
          <w:szCs w:val="22"/>
        </w:rPr>
        <w:t xml:space="preserve">The Sales Management and Expense Management services, together with the centralized MySQL database in the Data Tier, consolidate all financial data from the four business sectors into one authoritative source, satisfying the requirement for centralized transaction monitoring.</w:t>
      </w:r>
    </w:p>
    <w:p>
      <w:pPr>
        <w:spacing w:after="200" w:line="276"/>
        <w:jc w:val="both"/>
      </w:pPr>
      <w:r>
        <w:rPr>
          <w:rFonts w:ascii="Calibri" w:cs="Calibri" w:eastAsia="Calibri" w:hAnsi="Calibri"/>
          <w:sz w:val="22"/>
          <w:szCs w:val="22"/>
        </w:rPr>
        <w:t xml:space="preserve">The Financial Calculator service implements the Automated Financial Calculator feature, computing total sales and expense figures from the records stored in the database and removing the need for manual computation.</w:t>
      </w:r>
    </w:p>
    <w:p>
      <w:pPr>
        <w:spacing w:after="200" w:line="276"/>
        <w:jc w:val="both"/>
      </w:pPr>
      <w:r>
        <w:rPr>
          <w:rFonts w:ascii="Calibri" w:cs="Calibri" w:eastAsia="Calibri" w:hAnsi="Calibri"/>
          <w:sz w:val="22"/>
          <w:szCs w:val="22"/>
        </w:rPr>
        <w:t xml:space="preserve">The Payroll Calculator and Financial Calculator services jointly implement the Automated Payroll Calculator, computing employee salary amounts from recorded transaction dates according to the business rules defined by DYS Events Management.</w:t>
      </w:r>
    </w:p>
    <w:p>
      <w:pPr>
        <w:spacing w:after="200" w:line="276"/>
        <w:jc w:val="both"/>
      </w:pPr>
      <w:r>
        <w:rPr>
          <w:rFonts w:ascii="Calibri" w:cs="Calibri" w:eastAsia="Calibri" w:hAnsi="Calibri"/>
          <w:sz w:val="22"/>
          <w:szCs w:val="22"/>
        </w:rPr>
        <w:t xml:space="preserve">The Authentication &amp; Role Management Service, together with role-based UI enforcement across every screen in the Client Tier, restricts data visibility and permitted actions according to each user's assigned role, fulfilling the Role-Based Access Control requirement.</w:t>
      </w:r>
    </w:p>
    <w:p>
      <w:pPr>
        <w:spacing w:after="200" w:line="276"/>
        <w:jc w:val="both"/>
      </w:pPr>
      <w:r>
        <w:rPr>
          <w:rFonts w:ascii="Calibri" w:cs="Calibri" w:eastAsia="Calibri" w:hAnsi="Calibri"/>
          <w:sz w:val="22"/>
          <w:szCs w:val="22"/>
        </w:rPr>
        <w:t xml:space="preserve">The Business Sector Management Service organizes and filters data by sector, while the Business Sector Switcher screen in the Client Tier lets users toggle between the four sectors within a single interface.</w:t>
      </w:r>
    </w:p>
    <w:p>
      <w:pPr>
        <w:spacing w:after="200" w:line="276"/>
        <w:jc w:val="both"/>
      </w:pPr>
      <w:r>
        <w:rPr>
          <w:rFonts w:ascii="Calibri" w:cs="Calibri" w:eastAsia="Calibri" w:hAnsi="Calibri"/>
          <w:sz w:val="22"/>
          <w:szCs w:val="22"/>
        </w:rPr>
        <w:t xml:space="preserve">The Reports &amp; Analytics Service aggregates transaction and expense data for reporting, and the Reports screen in the Client Tier renders that data as graphs and charts, together delivering the Interactive Visual Analytics Dashboard.</w:t>
      </w:r>
    </w:p>
    <w:p>
      <w:pPr>
        <w:spacing w:after="200" w:line="276"/>
        <w:jc w:val="both"/>
      </w:pPr>
      <w:r>
        <w:rPr>
          <w:rFonts w:ascii="Calibri" w:cs="Calibri" w:eastAsia="Calibri" w:hAnsi="Calibri"/>
          <w:sz w:val="22"/>
          <w:szCs w:val="22"/>
        </w:rPr>
        <w:t xml:space="preserve">Multi-user access for the Business Owner, Event Manager, Employees/Event Staff, and External Client roles is supported by the layered architecture as a whole, particularly the Authentication &amp; Role Management Service, which allows concurrent access while maintaining role-appropriate restrictions on data and functionality.</w:t>
      </w:r>
    </w:p>
    <w:p>
      <w:pPr>
        <w:spacing w:after="200" w:line="276"/>
        <w:jc w:val="both"/>
      </w:pPr>
      <w:r>
        <w:rPr>
          <w:rFonts w:ascii="Calibri" w:cs="Calibri" w:eastAsia="Calibri" w:hAnsi="Calibri"/>
          <w:sz w:val="22"/>
          <w:szCs w:val="22"/>
        </w:rPr>
        <w:t xml:space="preserve">Financial record management, covering the recording, organization, and monitoring of sales transactions and expenses, is handled collectively by the Sales Management Service, the Expense Management Service, and the Payroll Calculator, together with the centralized storage provided by the Data Tier.</w:t>
      </w:r>
    </w:p>
    <w:p>
      <w:pPr>
        <w:pStyle w:val="Heading1"/>
        <w:spacing w:after="200" w:before="400"/>
      </w:pPr>
      <w:r>
        <w:rPr>
          <w:rFonts w:ascii="Calibri" w:cs="Calibri" w:eastAsia="Calibri" w:hAnsi="Calibri"/>
          <w:b/>
          <w:bCs/>
          <w:color w:val="1F3864"/>
          <w:sz w:val="28"/>
          <w:szCs w:val="28"/>
        </w:rPr>
        <w:t xml:space="preserve">6. Architectural Benefits</w:t>
      </w:r>
    </w:p>
    <w:p>
      <w:pPr>
        <w:spacing w:after="200" w:line="276"/>
        <w:jc w:val="both"/>
      </w:pPr>
      <w:r>
        <w:rPr>
          <w:rFonts w:ascii="Calibri" w:cs="Calibri" w:eastAsia="Calibri" w:hAnsi="Calibri"/>
          <w:sz w:val="22"/>
          <w:szCs w:val="22"/>
        </w:rPr>
        <w:t xml:space="preserve">The layered architecture adopted for the DYS Sales Tracker Management System provides several benefits that support both the development process and the long-term quality of the system.</w:t>
      </w:r>
    </w:p>
    <w:p>
      <w:pPr>
        <w:spacing w:after="200" w:line="276"/>
        <w:jc w:val="both"/>
      </w:pPr>
      <w:r>
        <w:rPr>
          <w:rFonts w:ascii="Calibri" w:cs="Calibri" w:eastAsia="Calibri" w:hAnsi="Calibri"/>
          <w:sz w:val="22"/>
          <w:szCs w:val="22"/>
        </w:rPr>
        <w:t xml:space="preserve">The layered architecture separates presentation, communication, business logic, and data storage into independent responsibilities, from the Client Tier through the Backend Application Layer to the Data Tier. This limits the scope of any single component and makes issues easier to isolate during development.</w:t>
      </w:r>
    </w:p>
    <w:p>
      <w:pPr>
        <w:spacing w:after="200" w:line="276"/>
        <w:jc w:val="both"/>
      </w:pPr>
      <w:r>
        <w:rPr>
          <w:rFonts w:ascii="Calibri" w:cs="Calibri" w:eastAsia="Calibri" w:hAnsi="Calibri"/>
          <w:sz w:val="22"/>
          <w:szCs w:val="22"/>
        </w:rPr>
        <w:t xml:space="preserve">Changes to one layer, such as the user interface, can be made without directly affecting the business logic or database structure, as long as the interfaces between layers stay consistent. This is valuable for a student team working under time constraints, since corrections and refinements can be made efficiently.</w:t>
      </w:r>
    </w:p>
    <w:p>
      <w:pPr>
        <w:spacing w:after="200" w:line="276"/>
        <w:jc w:val="both"/>
      </w:pPr>
      <w:r>
        <w:rPr>
          <w:rFonts w:ascii="Calibri" w:cs="Calibri" w:eastAsia="Calibri" w:hAnsi="Calibri"/>
          <w:sz w:val="22"/>
          <w:szCs w:val="22"/>
        </w:rPr>
        <w:t xml:space="preserve">The Backend Application Layer is organized into seven distinct services, each corresponding to an approved feature. Individual services can be extended or optimized independently as the needs of DYS Events Management grow, without changing the architecture as a whole.</w:t>
      </w:r>
    </w:p>
    <w:p>
      <w:pPr>
        <w:spacing w:after="200" w:line="276"/>
        <w:jc w:val="both"/>
      </w:pPr>
      <w:r>
        <w:rPr>
          <w:rFonts w:ascii="Calibri" w:cs="Calibri" w:eastAsia="Calibri" w:hAnsi="Calibri"/>
          <w:sz w:val="22"/>
          <w:szCs w:val="22"/>
        </w:rPr>
        <w:t xml:space="preserve">Authentication and authorization are centralized in the Backend Application Layer. Because Role-Based Access Control is enforced at the backend rather than relying solely on client-side restrictions, access control decisions cannot be bypassed by manipulating the mobile application alone.</w:t>
      </w:r>
    </w:p>
    <w:p>
      <w:pPr>
        <w:spacing w:after="200" w:line="276"/>
        <w:jc w:val="both"/>
      </w:pPr>
      <w:r>
        <w:rPr>
          <w:rFonts w:ascii="Calibri" w:cs="Calibri" w:eastAsia="Calibri" w:hAnsi="Calibri"/>
          <w:sz w:val="22"/>
          <w:szCs w:val="22"/>
        </w:rPr>
        <w:t xml:space="preserve">A single, centralized MySQL database serves as the sole authoritative source of financial data. This prevents duplication or fragmentation of records across the four business sectors and keeps financial computations based on consistent, accurate data.</w:t>
      </w:r>
    </w:p>
    <w:p>
      <w:pPr>
        <w:spacing w:after="200" w:line="276"/>
        <w:jc w:val="both"/>
      </w:pPr>
      <w:r>
        <w:rPr>
          <w:rFonts w:ascii="Calibri" w:cs="Calibri" w:eastAsia="Calibri" w:hAnsi="Calibri"/>
          <w:sz w:val="22"/>
          <w:szCs w:val="22"/>
        </w:rPr>
        <w:t xml:space="preserve">The seven backend services correspond directly to the five approved features. This lets the development team assign individual services to specific members, supporting organized, feature-based development for the remaining phases of the project.</w:t>
      </w:r>
    </w:p>
    <w:p>
      <w:pPr>
        <w:pStyle w:val="Heading1"/>
        <w:spacing w:after="200" w:before="400"/>
      </w:pPr>
      <w:r>
        <w:rPr>
          <w:rFonts w:ascii="Calibri" w:cs="Calibri" w:eastAsia="Calibri" w:hAnsi="Calibri"/>
          <w:b/>
          <w:bCs/>
          <w:color w:val="1F3864"/>
          <w:sz w:val="28"/>
          <w:szCs w:val="28"/>
        </w:rPr>
        <w:t xml:space="preserve">7. Conclusion</w:t>
      </w:r>
    </w:p>
    <w:p>
      <w:pPr>
        <w:spacing w:after="200" w:line="276"/>
        <w:jc w:val="both"/>
      </w:pPr>
      <w:r>
        <w:rPr>
          <w:rFonts w:ascii="Calibri" w:cs="Calibri" w:eastAsia="Calibri" w:hAnsi="Calibri"/>
          <w:sz w:val="22"/>
          <w:szCs w:val="22"/>
        </w:rPr>
        <w:t xml:space="preserve">The System Architecture provides a technical foundation for implementing the approved Concept Paper. Through its four layers, the Client Tier, the API Communication Layer, the Backend Application Layer, and the Data Tier, it translates the business requirements of DYS Events Management into a structured design of seven backend services and a centralized database, built on the approved Flutter, Laravel 12, and MySQL stack.</w:t>
      </w:r>
    </w:p>
    <w:p>
      <w:pPr>
        <w:spacing w:after="200" w:line="276"/>
        <w:jc w:val="both"/>
      </w:pPr>
      <w:r>
        <w:rPr>
          <w:rFonts w:ascii="Calibri" w:cs="Calibri" w:eastAsia="Calibri" w:hAnsi="Calibri"/>
          <w:sz w:val="22"/>
          <w:szCs w:val="22"/>
        </w:rPr>
        <w:t xml:space="preserve">Each architectural component maps directly to an approved feature, user role, or business process, keeping this document consistent with the remaining blueprint artifacts, including the Use Case Diagram, the Entity-Relationship Diagram, and the Database Schema. Overall, the architecture provides a structured foundation for implementing the DYS Sales Tracker Management System and serves as the basis for the remaining software engineering artifacts developed in this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2026-07-23T00:41:07.291Z</dcterms:created>
  <dcterms:modified xsi:type="dcterms:W3CDTF">2026-07-23T00:41:07.333Z</dcterms:modified>
</cp:coreProperties>
</file>

<file path=docProps/custom.xml><?xml version="1.0" encoding="utf-8"?>
<Properties xmlns="http://schemas.openxmlformats.org/officeDocument/2006/custom-properties" xmlns:vt="http://schemas.openxmlformats.org/officeDocument/2006/docPropsVTypes"/>
</file>