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kdwh62b1jt53" w:id="0"/>
      <w:bookmarkEnd w:id="0"/>
      <w:r w:rsidDel="00000000" w:rsidR="00000000" w:rsidRPr="00000000">
        <w:rPr>
          <w:b w:val="1"/>
          <w:rtl w:val="0"/>
        </w:rPr>
        <w:t xml:space="preserve">Dodatne napomene</w:t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6vyk4npzjrgz" w:id="1"/>
      <w:bookmarkEnd w:id="1"/>
      <w:r w:rsidDel="00000000" w:rsidR="00000000" w:rsidRPr="00000000">
        <w:rPr>
          <w:b w:val="1"/>
          <w:rtl w:val="0"/>
        </w:rPr>
        <w:t xml:space="preserve">Dopušteni alati pri izgradnji modela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Za izradu rješenja tim može koristiti bilo koji alat ili softver sve dok se time ne krše licencne odredbe danog alata odnosno softvera. Natjecatelji moraju koristiti besplatan i open source softver, a u slučaju korištenja komercijalnih rješenja ona jednako i bez dodatne naknade (novčane ili neke druge) moraju biti dostupna i drugim natjecateljima.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1qk4f5okln70" w:id="2"/>
      <w:bookmarkEnd w:id="2"/>
      <w:r w:rsidDel="00000000" w:rsidR="00000000" w:rsidRPr="00000000">
        <w:rPr>
          <w:b w:val="1"/>
          <w:rtl w:val="0"/>
        </w:rPr>
        <w:t xml:space="preserve">Evaluacija rješenja i stručni žiri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Evaluaciju rješenja provest će članovi stručnog žirija. Stručni žiri će biti sastavljen od po jednog djelatnika Srebrnih partnera. U slučaju nemogućnosti sudjelovanja članova žirija Srebrnih partnera njih će u procesu evaluacije rješenja zamijeniti akademski djelatnici.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Dodatne informacije vezane uz priznavanje natjecanja Mozgalo kao projektnog zadatka na nekim kolegijima, timeline-u samog natjecanja, prijašnjim natjecanjima, certifikatima, radionicama i konzultacijama možete pronaći na službenoj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tl w:val="0"/>
        </w:rPr>
        <w:t xml:space="preserve"> stranici Mozgala.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Sve dodatne upite možete poslati na 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mozgalo@estudent.hr</w:t>
        </w:r>
      </w:hyperlink>
      <w:r w:rsidDel="00000000" w:rsidR="00000000" w:rsidRPr="00000000">
        <w:rPr>
          <w:rtl w:val="0"/>
        </w:rPr>
        <w:t xml:space="preserve"> ili na Facebook stranicu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Mozgalo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estudent.hr/category/natjecanja/mozgalo/#_tab" TargetMode="External"/><Relationship Id="rId6" Type="http://schemas.openxmlformats.org/officeDocument/2006/relationships/hyperlink" Target="mailto:mozgalo@estudent.hr" TargetMode="External"/><Relationship Id="rId7" Type="http://schemas.openxmlformats.org/officeDocument/2006/relationships/hyperlink" Target="https://www.facebook.com/eSTUDENT.Mozgalo/?fref=ts" TargetMode="External"/></Relationships>
</file>