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6F78F" w14:textId="3442F179" w:rsidR="00AD25DC" w:rsidRDefault="00AD25DC" w:rsidP="00AD25DC">
      <w:pPr>
        <w:pStyle w:val="Heading2"/>
      </w:pPr>
      <w:r>
        <w:t>Explaining variance and quantifying performance</w:t>
      </w:r>
    </w:p>
    <w:p w14:paraId="67E3EB1C" w14:textId="52F92EAB" w:rsidR="00AD25DC" w:rsidRPr="00AD25DC" w:rsidRDefault="00AD25DC" w:rsidP="00AD25DC">
      <w:pPr>
        <w:pStyle w:val="Heading3"/>
      </w:pPr>
      <w:r w:rsidRPr="00AD25DC">
        <w:t>14.8 – Manual Tuning</w:t>
      </w:r>
    </w:p>
    <w:p w14:paraId="2DBF79EC" w14:textId="15453C67" w:rsidR="00AD25DC" w:rsidRDefault="00AD25DC" w:rsidP="00AD25DC">
      <w:r>
        <w:t xml:space="preserve">The key benefit of using machine learning models is that they can automatically find the </w:t>
      </w:r>
      <w:r w:rsidR="00B60824">
        <w:t>best-fitting</w:t>
      </w:r>
      <w:r>
        <w:t xml:space="preserve"> parameters that allow the model to perform with acceptable accuracy.</w:t>
      </w:r>
      <w:r w:rsidR="00F846FC">
        <w:t xml:space="preserve"> </w:t>
      </w:r>
      <w:r>
        <w:t>No need for us to painstakingly set the parameters that combine our input variables to yield a model with the best possible performance.</w:t>
      </w:r>
      <w:r w:rsidR="00F846FC">
        <w:t xml:space="preserve"> </w:t>
      </w:r>
      <w:r>
        <w:t xml:space="preserve">Instead, weights are adjusted </w:t>
      </w:r>
      <w:r w:rsidR="0085710D">
        <w:t>through</w:t>
      </w:r>
      <w:r>
        <w:t xml:space="preserve"> numerical optimization over </w:t>
      </w:r>
      <w:r w:rsidR="00C974D3">
        <w:t>many</w:t>
      </w:r>
      <w:r>
        <w:t xml:space="preserve"> training examples, slightly changing millions of parameters on each iteration to improve accuracy by a little.</w:t>
      </w:r>
      <w:r w:rsidR="00F846FC">
        <w:t xml:space="preserve"> </w:t>
      </w:r>
      <w:r>
        <w:t xml:space="preserve">This is not a human endeavor and an impossible undertaking at this point to even attempt, given the complexity and </w:t>
      </w:r>
      <w:r w:rsidR="00B60824">
        <w:t>the sheer</w:t>
      </w:r>
      <w:r>
        <w:t xml:space="preserve"> number of parameters in even modest machine learning models in production.</w:t>
      </w:r>
      <w:r w:rsidR="00F846FC">
        <w:t xml:space="preserve"> </w:t>
      </w:r>
      <w:r>
        <w:t>So, you might be surprised that we will pick the parameters for our first linear regression model by hand</w:t>
      </w:r>
      <w:r w:rsidR="0085710D">
        <w:t xml:space="preserve"> in this section</w:t>
      </w:r>
      <w:r>
        <w:t>.</w:t>
      </w:r>
      <w:r w:rsidR="00F846FC">
        <w:t xml:space="preserve"> </w:t>
      </w:r>
      <w:r w:rsidR="00B60824">
        <w:t>We</w:t>
      </w:r>
      <w:r>
        <w:t xml:space="preserve"> will get to an automated approach soon enough (in the next section).</w:t>
      </w:r>
      <w:r w:rsidR="00F846FC">
        <w:t xml:space="preserve"> </w:t>
      </w:r>
      <w:r>
        <w:t>But first, we need to define precisely how we measure, numerically and objectively, the performance of our machine learning model.</w:t>
      </w:r>
      <w:r w:rsidR="00F846FC">
        <w:t xml:space="preserve"> </w:t>
      </w:r>
      <w:r>
        <w:t>We can derive, compute, and compare these performance metrics without learning.</w:t>
      </w:r>
      <w:r w:rsidR="00F846FC">
        <w:t xml:space="preserve"> </w:t>
      </w:r>
      <w:r>
        <w:t xml:space="preserve">So, for simplicity, we will use common sense, rather than numerical optimization, to create a few machine learning with varying </w:t>
      </w:r>
      <w:r w:rsidR="0085710D">
        <w:t>performance levels</w:t>
      </w:r>
      <w:r>
        <w:t xml:space="preserve">. </w:t>
      </w:r>
    </w:p>
    <w:p w14:paraId="25B52A07" w14:textId="77777777" w:rsidR="00AD25DC" w:rsidRDefault="00AD25DC" w:rsidP="00AD25DC"/>
    <w:p w14:paraId="321A1979" w14:textId="1F51E44C" w:rsidR="00AD25DC" w:rsidRPr="00AD25DC" w:rsidRDefault="00AD25DC" w:rsidP="00AD25DC">
      <w:pPr>
        <w:pStyle w:val="Heading3"/>
      </w:pPr>
      <w:r w:rsidRPr="00AD25DC">
        <w:t>14.9 – Defining our model</w:t>
      </w:r>
    </w:p>
    <w:p w14:paraId="2E500303" w14:textId="45CA015C" w:rsidR="00AD25DC" w:rsidRDefault="00AD25DC" w:rsidP="00AD25DC">
      <w:r>
        <w:t xml:space="preserve">We will start our discussion with </w:t>
      </w:r>
      <w:r w:rsidR="0085710D">
        <w:t>a straightforward</w:t>
      </w:r>
      <w:r>
        <w:t xml:space="preserve"> regression model to </w:t>
      </w:r>
      <w:r w:rsidR="0085710D">
        <w:t xml:space="preserve">predict a </w:t>
      </w:r>
      <w:r w:rsidR="00F03B28">
        <w:t>patient's</w:t>
      </w:r>
      <w:r w:rsidR="0085710D">
        <w:t xml:space="preserve"> total medical </w:t>
      </w:r>
      <w:r w:rsidR="00B60824">
        <w:t>expenses</w:t>
      </w:r>
      <w:r>
        <w:t xml:space="preserve"> based on age.</w:t>
      </w:r>
      <w:r w:rsidR="00F846FC">
        <w:t xml:space="preserve"> </w:t>
      </w:r>
      <w:r>
        <w:t xml:space="preserve">The data we will use for this can be found in Figure 14.8b, which, as discussed, is a small toy dataset based on only 20 </w:t>
      </w:r>
      <w:r w:rsidR="00B60824">
        <w:t>data points</w:t>
      </w:r>
      <w:r>
        <w:t xml:space="preserve"> out of roughly 1000 datapoint in the original dataset.</w:t>
      </w:r>
      <w:r w:rsidR="00F846FC">
        <w:t xml:space="preserve"> </w:t>
      </w:r>
      <w:r>
        <w:t xml:space="preserve">Our model will </w:t>
      </w:r>
      <w:r>
        <w:lastRenderedPageBreak/>
        <w:t xml:space="preserve">have two parameters a and b, where a is the slope or directional coefficient of the function that maps x (age) </w:t>
      </w:r>
      <w:r w:rsidR="00B60824">
        <w:t>to</w:t>
      </w:r>
      <w:r>
        <w:t xml:space="preserve"> y (medical expenses), and b is the bias, intercept or offset (as discussed before, all three terms refer to the same thing, the names just originated from different disciplines).</w:t>
      </w:r>
      <w:r w:rsidR="00F846FC">
        <w:t xml:space="preserve"> </w:t>
      </w:r>
      <w:r>
        <w:t>Therefore, Equation 14.1 defines our linear regression model that uses age to predict medical expenditures, assuming a linear relationship between the two variables.</w:t>
      </w:r>
    </w:p>
    <w:p w14:paraId="4E904B94" w14:textId="796A971A" w:rsidR="00AD25DC" w:rsidRDefault="00AD25DC" w:rsidP="00AD25DC"/>
    <w:tbl>
      <w:tblPr>
        <w:tblStyle w:val="TableGrid"/>
        <w:tblW w:w="0" w:type="auto"/>
        <w:tblLook w:val="04A0" w:firstRow="1" w:lastRow="0" w:firstColumn="1" w:lastColumn="0" w:noHBand="0" w:noVBand="1"/>
      </w:tblPr>
      <w:tblGrid>
        <w:gridCol w:w="720"/>
        <w:gridCol w:w="7920"/>
        <w:gridCol w:w="720"/>
      </w:tblGrid>
      <w:tr w:rsidR="00F4682F" w14:paraId="5108FA0A" w14:textId="77777777" w:rsidTr="00AE0B32">
        <w:tc>
          <w:tcPr>
            <w:tcW w:w="720" w:type="dxa"/>
            <w:tcBorders>
              <w:top w:val="nil"/>
              <w:left w:val="nil"/>
              <w:bottom w:val="nil"/>
              <w:right w:val="nil"/>
            </w:tcBorders>
          </w:tcPr>
          <w:p w14:paraId="7DF49844" w14:textId="77777777" w:rsidR="00F4682F" w:rsidRDefault="00F4682F" w:rsidP="001B1E68"/>
        </w:tc>
        <w:tc>
          <w:tcPr>
            <w:tcW w:w="0" w:type="auto"/>
            <w:tcBorders>
              <w:top w:val="nil"/>
              <w:left w:val="nil"/>
              <w:bottom w:val="nil"/>
              <w:right w:val="nil"/>
            </w:tcBorders>
          </w:tcPr>
          <w:p w14:paraId="2B825FFE" w14:textId="3C5193EE" w:rsidR="00F4682F" w:rsidRDefault="00AE0B32" w:rsidP="001B1E68">
            <w:pPr>
              <w:jc w:val="center"/>
            </w:pPr>
            <w:r w:rsidRPr="00F73525">
              <w:rPr>
                <w:noProof/>
              </w:rPr>
              <w:drawing>
                <wp:inline distT="0" distB="0" distL="0" distR="0" wp14:anchorId="20A4F784" wp14:editId="387B380F">
                  <wp:extent cx="1137484" cy="228600"/>
                  <wp:effectExtent l="0" t="0" r="571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7484" cy="228600"/>
                          </a:xfrm>
                          <a:prstGeom prst="rect">
                            <a:avLst/>
                          </a:prstGeom>
                          <a:noFill/>
                          <a:ln>
                            <a:noFill/>
                          </a:ln>
                        </pic:spPr>
                      </pic:pic>
                    </a:graphicData>
                  </a:graphic>
                </wp:inline>
              </w:drawing>
            </w:r>
          </w:p>
        </w:tc>
        <w:tc>
          <w:tcPr>
            <w:tcW w:w="720" w:type="dxa"/>
            <w:tcBorders>
              <w:top w:val="nil"/>
              <w:left w:val="nil"/>
              <w:bottom w:val="nil"/>
              <w:right w:val="nil"/>
            </w:tcBorders>
            <w:vAlign w:val="center"/>
          </w:tcPr>
          <w:p w14:paraId="43A94D58" w14:textId="3CEC1C61" w:rsidR="00F4682F" w:rsidRPr="00F4682F" w:rsidRDefault="00F4682F" w:rsidP="00AE0B32">
            <w:pPr>
              <w:jc w:val="right"/>
              <w:rPr>
                <w:sz w:val="20"/>
                <w:szCs w:val="20"/>
              </w:rPr>
            </w:pPr>
            <w:r w:rsidRPr="00F4682F">
              <w:rPr>
                <w:sz w:val="20"/>
                <w:szCs w:val="20"/>
              </w:rPr>
              <w:t>(14.1)</w:t>
            </w:r>
          </w:p>
        </w:tc>
      </w:tr>
      <w:tr w:rsidR="00F4682F" w14:paraId="0AAE7486" w14:textId="77777777" w:rsidTr="00AE0B32">
        <w:tc>
          <w:tcPr>
            <w:tcW w:w="720" w:type="dxa"/>
            <w:tcBorders>
              <w:top w:val="nil"/>
              <w:left w:val="nil"/>
              <w:bottom w:val="nil"/>
              <w:right w:val="nil"/>
            </w:tcBorders>
          </w:tcPr>
          <w:p w14:paraId="606D4000" w14:textId="77777777" w:rsidR="00F4682F" w:rsidRDefault="00F4682F" w:rsidP="001B1E68"/>
        </w:tc>
        <w:tc>
          <w:tcPr>
            <w:tcW w:w="0" w:type="auto"/>
            <w:tcBorders>
              <w:top w:val="nil"/>
              <w:left w:val="nil"/>
              <w:bottom w:val="nil"/>
              <w:right w:val="nil"/>
            </w:tcBorders>
          </w:tcPr>
          <w:p w14:paraId="5A3D2F31" w14:textId="2B92EFA8" w:rsidR="00F4682F" w:rsidRPr="00F4682F" w:rsidRDefault="00F4682F" w:rsidP="001B1E68">
            <w:pPr>
              <w:rPr>
                <w:sz w:val="20"/>
                <w:szCs w:val="20"/>
              </w:rPr>
            </w:pPr>
            <w:r w:rsidRPr="00F4682F">
              <w:rPr>
                <w:b/>
                <w:bCs/>
                <w:sz w:val="20"/>
                <w:szCs w:val="20"/>
              </w:rPr>
              <w:t xml:space="preserve">Equation 14.1 </w:t>
            </w:r>
            <w:r w:rsidRPr="00F4682F">
              <w:rPr>
                <w:sz w:val="20"/>
                <w:szCs w:val="20"/>
              </w:rPr>
              <w:t>- Our general linear regression model.</w:t>
            </w:r>
            <w:r w:rsidR="00F846FC">
              <w:rPr>
                <w:sz w:val="20"/>
                <w:szCs w:val="20"/>
              </w:rPr>
              <w:t xml:space="preserve"> </w:t>
            </w:r>
            <w:r w:rsidR="00B60824">
              <w:rPr>
                <w:sz w:val="20"/>
                <w:szCs w:val="20"/>
              </w:rPr>
              <w:t>Our</w:t>
            </w:r>
            <w:r w:rsidRPr="00F4682F">
              <w:rPr>
                <w:sz w:val="20"/>
                <w:szCs w:val="20"/>
              </w:rPr>
              <w:t xml:space="preserve"> prediction y is a function of x times parameters a (the slope) plus parameter b (the offset or intercept) </w:t>
            </w:r>
          </w:p>
        </w:tc>
        <w:tc>
          <w:tcPr>
            <w:tcW w:w="720" w:type="dxa"/>
            <w:tcBorders>
              <w:top w:val="nil"/>
              <w:left w:val="nil"/>
              <w:bottom w:val="nil"/>
              <w:right w:val="nil"/>
            </w:tcBorders>
          </w:tcPr>
          <w:p w14:paraId="784859EB" w14:textId="77777777" w:rsidR="00F4682F" w:rsidRDefault="00F4682F" w:rsidP="001B1E68"/>
        </w:tc>
      </w:tr>
    </w:tbl>
    <w:p w14:paraId="0933AFB8" w14:textId="658E21AE" w:rsidR="00576B87" w:rsidRDefault="00576B87" w:rsidP="00AD25DC"/>
    <w:p w14:paraId="02594D5B" w14:textId="42C23ACB" w:rsidR="00AD25DC" w:rsidRDefault="00AD25DC" w:rsidP="00AD25DC">
      <w:pPr>
        <w:pStyle w:val="Heading3"/>
      </w:pPr>
      <w:r>
        <w:t>14.10 - Quantifying performance</w:t>
      </w:r>
    </w:p>
    <w:p w14:paraId="36F93B14" w14:textId="0A8D89C2" w:rsidR="00AD25DC" w:rsidRDefault="00AD25DC" w:rsidP="00AD25DC">
      <w:r>
        <w:t>The usefulness of any machine learning model is a function of how well it performs across a wide range of inputs.</w:t>
      </w:r>
      <w:r w:rsidR="00F846FC">
        <w:t xml:space="preserve"> </w:t>
      </w:r>
      <w:r>
        <w:t xml:space="preserve">How we quantify performance depends, amongst other things, on the </w:t>
      </w:r>
      <w:r w:rsidR="0085710D">
        <w:t>algorithm we use</w:t>
      </w:r>
      <w:r>
        <w:t>.</w:t>
      </w:r>
      <w:r w:rsidR="00F846FC">
        <w:t xml:space="preserve"> </w:t>
      </w:r>
      <w:r>
        <w:t>Whereas the performance of a classification algorithm should be reflected in the accuracy of its predictions, what constitutes an accurate prediction for a regression algorithm is less well defined.</w:t>
      </w:r>
      <w:r w:rsidR="00F846FC">
        <w:t xml:space="preserve"> </w:t>
      </w:r>
      <w:r>
        <w:t>Instead, we need to rely on some measure of getting at least reasonably close to the actual output value we are trying to predict.</w:t>
      </w:r>
      <w:r w:rsidR="00F846FC">
        <w:t xml:space="preserve"> </w:t>
      </w:r>
      <w:r>
        <w:t xml:space="preserve">And what constitutes reasonable </w:t>
      </w:r>
      <w:r w:rsidR="00F03B28">
        <w:t>isn't</w:t>
      </w:r>
      <w:r>
        <w:t xml:space="preserve"> necessarily a given either.</w:t>
      </w:r>
      <w:r w:rsidR="00F846FC">
        <w:t xml:space="preserve"> </w:t>
      </w:r>
      <w:r>
        <w:t xml:space="preserve">Therefore, a </w:t>
      </w:r>
      <w:r w:rsidR="00F03B28">
        <w:t>model's</w:t>
      </w:r>
      <w:r>
        <w:t xml:space="preserve"> performance </w:t>
      </w:r>
      <w:r w:rsidR="0085710D">
        <w:t xml:space="preserve">in regression </w:t>
      </w:r>
      <w:r>
        <w:t xml:space="preserve">is quantified in terms of how well it explains the data: the </w:t>
      </w:r>
      <w:r w:rsidR="00F03B28">
        <w:t>model's</w:t>
      </w:r>
      <w:r>
        <w:t xml:space="preserve"> </w:t>
      </w:r>
      <w:r w:rsidR="00F03B28">
        <w:t>'</w:t>
      </w:r>
      <w:r>
        <w:t>goodness-of-fit</w:t>
      </w:r>
      <w:r w:rsidR="00F03B28">
        <w:t>'</w:t>
      </w:r>
      <w:r>
        <w:t>.</w:t>
      </w:r>
      <w:r w:rsidR="00F846FC">
        <w:t xml:space="preserve"> </w:t>
      </w:r>
      <w:r>
        <w:t xml:space="preserve">For regression,  we typically use the r-squared value, or its more official and serious name: the coefficient of determination. </w:t>
      </w:r>
    </w:p>
    <w:p w14:paraId="125C4FC1" w14:textId="77777777" w:rsidR="00AD25DC" w:rsidRDefault="00AD25DC" w:rsidP="00AD25DC"/>
    <w:p w14:paraId="45E27B3F" w14:textId="77777777" w:rsidR="00AE0B32" w:rsidRDefault="00AE0B32" w:rsidP="00AD25DC">
      <w:pPr>
        <w:pStyle w:val="Heading3"/>
      </w:pPr>
    </w:p>
    <w:p w14:paraId="7A6C4F4A" w14:textId="6A226DFD" w:rsidR="00AD25DC" w:rsidRDefault="00AD25DC" w:rsidP="00AD25DC">
      <w:pPr>
        <w:pStyle w:val="Heading3"/>
      </w:pPr>
      <w:r>
        <w:lastRenderedPageBreak/>
        <w:t>14.11 - The intuition behind the R-squared metric</w:t>
      </w:r>
    </w:p>
    <w:p w14:paraId="282AC238" w14:textId="384785DF" w:rsidR="00AD25DC" w:rsidRDefault="0085710D" w:rsidP="00AD25DC">
      <w:r>
        <w:t>In the next paragraph, we</w:t>
      </w:r>
      <w:r w:rsidR="00AD25DC">
        <w:t xml:space="preserve"> will detail the formulas we need to compute the </w:t>
      </w:r>
      <w:r w:rsidR="00C974D3">
        <w:t>r squared</w:t>
      </w:r>
      <w:r w:rsidR="00AD25DC">
        <w:t>.</w:t>
      </w:r>
      <w:r w:rsidR="00F846FC">
        <w:t xml:space="preserve"> </w:t>
      </w:r>
      <w:r w:rsidR="00AD25DC">
        <w:t>Here, we focus instead on the intuition that underlies measuring performance.</w:t>
      </w:r>
      <w:r w:rsidR="00F846FC">
        <w:t xml:space="preserve"> </w:t>
      </w:r>
      <w:r w:rsidR="00AD25DC">
        <w:t>First, let us briefly revisit the material discussed in chapter 13.</w:t>
      </w:r>
      <w:r w:rsidR="00F846FC">
        <w:t xml:space="preserve"> </w:t>
      </w:r>
      <w:r w:rsidR="00AD25DC">
        <w:t>In this chapter, we defined several key statistical metrics, like the mean, variance, and standard deviation of a random variable x.</w:t>
      </w:r>
      <w:r w:rsidR="00F846FC">
        <w:t xml:space="preserve"> </w:t>
      </w:r>
      <w:r w:rsidR="00AD25DC">
        <w:t>If you have read chapter 13 or have a solid knowledge of statistics, these concepts should now be familiar.</w:t>
      </w:r>
      <w:r w:rsidR="00F846FC">
        <w:t xml:space="preserve"> </w:t>
      </w:r>
      <w:r w:rsidR="00AD25DC">
        <w:t>For example, when we measure the height of a randomly selected group of individuals, we understand that we can compute a mean height and some variation around that height</w:t>
      </w:r>
      <w:r w:rsidR="00C974D3">
        <w:t xml:space="preserve"> from this sampling</w:t>
      </w:r>
      <w:r w:rsidR="00AD25DC">
        <w:t>.</w:t>
      </w:r>
      <w:r w:rsidR="00F846FC">
        <w:t xml:space="preserve"> </w:t>
      </w:r>
      <w:r w:rsidR="00AD25DC">
        <w:t>In statistics, these metrics will serve to compare, contrast, and estimate</w:t>
      </w:r>
      <w:r w:rsidR="00B60824">
        <w:t>,</w:t>
      </w:r>
      <w:r w:rsidR="00AD25DC">
        <w:t xml:space="preserve"> with some probability or statistical significance, the difference between different groups of individuals.</w:t>
      </w:r>
      <w:r w:rsidR="00F846FC">
        <w:t xml:space="preserve"> </w:t>
      </w:r>
      <w:r>
        <w:t>For</w:t>
      </w:r>
      <w:r w:rsidR="00AD25DC">
        <w:t xml:space="preserve"> example, we could test whether the Dutch are significantly taller than people from Uruguay.</w:t>
      </w:r>
      <w:r w:rsidR="00F846FC">
        <w:t xml:space="preserve"> </w:t>
      </w:r>
      <w:r w:rsidR="00AD25DC">
        <w:t>Not all Dutch individuals need to be taller than all Uruguayans</w:t>
      </w:r>
      <w:r w:rsidR="00B60824">
        <w:t>; that</w:t>
      </w:r>
      <w:r w:rsidR="00AD25DC">
        <w:t xml:space="preserve"> is a far too stringent statistical criterium.</w:t>
      </w:r>
      <w:r w:rsidR="00F846FC">
        <w:t xml:space="preserve"> </w:t>
      </w:r>
      <w:r w:rsidR="00AD25DC">
        <w:t>Instead, we want to show that the mean height of the Dutch is different enough (statistically speaking) from the mean height of the Uruguayan people.</w:t>
      </w:r>
      <w:r w:rsidR="00F846FC">
        <w:t xml:space="preserve"> </w:t>
      </w:r>
      <w:r w:rsidR="00AD25DC">
        <w:t>In machine learning, we use highly similar metrics to quantify machine learning model performance but with a small but significant difference.</w:t>
      </w:r>
      <w:r w:rsidR="00F846FC">
        <w:t xml:space="preserve"> </w:t>
      </w:r>
      <w:r w:rsidR="00AD25DC">
        <w:t>In statistics, we are mainly concerned with the variance we observe within a particular random variable x.</w:t>
      </w:r>
      <w:r w:rsidR="00F846FC">
        <w:t xml:space="preserve"> </w:t>
      </w:r>
      <w:r w:rsidR="00AD25DC">
        <w:t>In machine learning, we want to condition that variance on how much of that variance can be explained by our model and how much variance is left over that cannot be explained by our model.</w:t>
      </w:r>
      <w:r w:rsidR="00F846FC">
        <w:t xml:space="preserve"> </w:t>
      </w:r>
      <w:r w:rsidR="00AD25DC">
        <w:t xml:space="preserve">In this context, </w:t>
      </w:r>
      <w:r w:rsidR="00C974D3">
        <w:t xml:space="preserve">we should not equate </w:t>
      </w:r>
      <w:r w:rsidR="00C974D3">
        <w:rPr>
          <w:rFonts w:ascii="Cambria" w:hAnsi="Cambria"/>
        </w:rPr>
        <w:t>"</w:t>
      </w:r>
      <w:r w:rsidR="00AD25DC">
        <w:t>explaining</w:t>
      </w:r>
      <w:r w:rsidR="00C974D3">
        <w:rPr>
          <w:rFonts w:ascii="Cambria" w:hAnsi="Cambria"/>
        </w:rPr>
        <w:t>"</w:t>
      </w:r>
      <w:r w:rsidR="00AD25DC">
        <w:t xml:space="preserve"> to some conceptual scientific explanation based on our model.</w:t>
      </w:r>
      <w:r w:rsidR="00F846FC">
        <w:t xml:space="preserve"> </w:t>
      </w:r>
      <w:r w:rsidR="00AD25DC">
        <w:t xml:space="preserve">Rather, think of it as our </w:t>
      </w:r>
      <w:r w:rsidR="00F03B28">
        <w:t>model's</w:t>
      </w:r>
      <w:r w:rsidR="00AD25DC">
        <w:t xml:space="preserve"> ability </w:t>
      </w:r>
      <w:r w:rsidR="00B60824">
        <w:t xml:space="preserve">to </w:t>
      </w:r>
      <w:r w:rsidR="00AD25DC">
        <w:t>capture the natural variation we see in our outputs.</w:t>
      </w:r>
      <w:r w:rsidR="00F846FC">
        <w:t xml:space="preserve"> </w:t>
      </w:r>
      <w:r w:rsidR="00AD25DC">
        <w:t xml:space="preserve">The output of a high-performing model will </w:t>
      </w:r>
      <w:r w:rsidR="00AD25DC">
        <w:lastRenderedPageBreak/>
        <w:t xml:space="preserve">correlate with the actual outputs because it has found some combination of inputs from which it can produce an output </w:t>
      </w:r>
      <w:r w:rsidR="00B60824">
        <w:t xml:space="preserve">that </w:t>
      </w:r>
      <w:r w:rsidR="00AD25DC">
        <w:t xml:space="preserve">correlates and varies very </w:t>
      </w:r>
      <w:r w:rsidR="00B60824">
        <w:t>similarly</w:t>
      </w:r>
      <w:r w:rsidR="00AD25DC">
        <w:t xml:space="preserve"> to the actual ground truth outputs.</w:t>
      </w:r>
      <w:r w:rsidR="00F846FC">
        <w:t xml:space="preserve"> </w:t>
      </w:r>
      <w:r w:rsidR="00AD25DC">
        <w:t xml:space="preserve">Again, the model </w:t>
      </w:r>
      <w:r w:rsidR="00F03B28">
        <w:t>isn't</w:t>
      </w:r>
      <w:r w:rsidR="00AD25DC">
        <w:t xml:space="preserve"> engaged in finding a conceptual framework for how a </w:t>
      </w:r>
      <w:r w:rsidR="00F03B28">
        <w:t>person's</w:t>
      </w:r>
      <w:r w:rsidR="00AD25DC">
        <w:t xml:space="preserve"> IQ depends on genes, environment, access to certain resources, diet, etc.</w:t>
      </w:r>
      <w:r w:rsidR="00F846FC">
        <w:t xml:space="preserve"> </w:t>
      </w:r>
      <w:r w:rsidR="00AD25DC">
        <w:t>That will be the human scientific interpretation of the model.</w:t>
      </w:r>
      <w:r w:rsidR="00F846FC">
        <w:t xml:space="preserve"> </w:t>
      </w:r>
      <w:r w:rsidR="00AD25DC">
        <w:t xml:space="preserve">The model, mathematically speaking, just aims to have its prediction move in unison with ground truth data. </w:t>
      </w:r>
    </w:p>
    <w:p w14:paraId="7173B8C6" w14:textId="7F846841" w:rsidR="00F4682F" w:rsidRDefault="00F4682F" w:rsidP="00AD25D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
        <w:gridCol w:w="8376"/>
        <w:gridCol w:w="492"/>
      </w:tblGrid>
      <w:tr w:rsidR="002465AC" w14:paraId="02832EF0" w14:textId="77777777" w:rsidTr="00AE0B32">
        <w:tc>
          <w:tcPr>
            <w:tcW w:w="720" w:type="dxa"/>
          </w:tcPr>
          <w:p w14:paraId="4B7C6630" w14:textId="77777777" w:rsidR="00F4682F" w:rsidRDefault="00F4682F" w:rsidP="001B1E68"/>
        </w:tc>
        <w:tc>
          <w:tcPr>
            <w:tcW w:w="0" w:type="auto"/>
          </w:tcPr>
          <w:p w14:paraId="7E691E98" w14:textId="18749FF3" w:rsidR="00F4682F" w:rsidRDefault="002465AC" w:rsidP="001B1E68">
            <w:pPr>
              <w:jc w:val="center"/>
            </w:pPr>
            <w:r>
              <w:rPr>
                <w:noProof/>
              </w:rPr>
              <w:drawing>
                <wp:inline distT="0" distB="0" distL="0" distR="0" wp14:anchorId="4D28DE81" wp14:editId="35F7CB53">
                  <wp:extent cx="5178670" cy="2275627"/>
                  <wp:effectExtent l="0" t="0" r="3175" b="0"/>
                  <wp:docPr id="18" name="Picture 1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graphical user interfac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196224" cy="2283340"/>
                          </a:xfrm>
                          <a:prstGeom prst="rect">
                            <a:avLst/>
                          </a:prstGeom>
                        </pic:spPr>
                      </pic:pic>
                    </a:graphicData>
                  </a:graphic>
                </wp:inline>
              </w:drawing>
            </w:r>
          </w:p>
        </w:tc>
        <w:tc>
          <w:tcPr>
            <w:tcW w:w="720" w:type="dxa"/>
          </w:tcPr>
          <w:p w14:paraId="21C7A149" w14:textId="0621F67A" w:rsidR="00F4682F" w:rsidRPr="00F4682F" w:rsidRDefault="00F4682F" w:rsidP="001B1E68">
            <w:pPr>
              <w:rPr>
                <w:sz w:val="20"/>
                <w:szCs w:val="20"/>
              </w:rPr>
            </w:pPr>
          </w:p>
        </w:tc>
      </w:tr>
      <w:tr w:rsidR="002465AC" w14:paraId="4B57CAD0" w14:textId="77777777" w:rsidTr="00AE0B32">
        <w:tc>
          <w:tcPr>
            <w:tcW w:w="720" w:type="dxa"/>
          </w:tcPr>
          <w:p w14:paraId="7DAC5040" w14:textId="77777777" w:rsidR="00F4682F" w:rsidRDefault="00F4682F" w:rsidP="001B1E68"/>
        </w:tc>
        <w:tc>
          <w:tcPr>
            <w:tcW w:w="0" w:type="auto"/>
          </w:tcPr>
          <w:p w14:paraId="568FA7C1" w14:textId="5423DB7F" w:rsidR="00F4682F" w:rsidRPr="00F4682F" w:rsidRDefault="00F4682F" w:rsidP="001B1E68">
            <w:pPr>
              <w:rPr>
                <w:sz w:val="20"/>
                <w:szCs w:val="20"/>
              </w:rPr>
            </w:pPr>
            <w:r w:rsidRPr="00F4682F">
              <w:rPr>
                <w:b/>
                <w:bCs/>
                <w:sz w:val="20"/>
                <w:szCs w:val="20"/>
              </w:rPr>
              <w:t>Figure 14.9</w:t>
            </w:r>
            <w:r w:rsidRPr="00F4682F">
              <w:rPr>
                <w:sz w:val="20"/>
                <w:szCs w:val="20"/>
              </w:rPr>
              <w:t xml:space="preserve"> - There are differences in </w:t>
            </w:r>
            <w:r w:rsidR="00B60824">
              <w:rPr>
                <w:sz w:val="20"/>
                <w:szCs w:val="20"/>
              </w:rPr>
              <w:t xml:space="preserve">the </w:t>
            </w:r>
            <w:r w:rsidRPr="00F4682F">
              <w:rPr>
                <w:sz w:val="20"/>
                <w:szCs w:val="20"/>
              </w:rPr>
              <w:t>average height of individuals between nations.</w:t>
            </w:r>
            <w:r w:rsidR="00F846FC">
              <w:rPr>
                <w:sz w:val="20"/>
                <w:szCs w:val="20"/>
              </w:rPr>
              <w:t xml:space="preserve"> </w:t>
            </w:r>
            <w:r w:rsidRPr="00F4682F">
              <w:rPr>
                <w:sz w:val="20"/>
                <w:szCs w:val="20"/>
              </w:rPr>
              <w:t xml:space="preserve">The origin of the exceptional height of the Dutch has been studied extensively, suggesting it is a combination of natural selection (the Dutch value height in choosing a partner) and diet. </w:t>
            </w:r>
          </w:p>
        </w:tc>
        <w:tc>
          <w:tcPr>
            <w:tcW w:w="720" w:type="dxa"/>
          </w:tcPr>
          <w:p w14:paraId="6023754C" w14:textId="77777777" w:rsidR="00F4682F" w:rsidRDefault="00F4682F" w:rsidP="001B1E68"/>
        </w:tc>
      </w:tr>
    </w:tbl>
    <w:p w14:paraId="44129CB8" w14:textId="77777777" w:rsidR="00CF3898" w:rsidRDefault="00CF3898" w:rsidP="00AD25DC"/>
    <w:p w14:paraId="45A850CE" w14:textId="1D7CFB53" w:rsidR="00AD25DC" w:rsidRDefault="0085710D" w:rsidP="00AD25DC">
      <w:r>
        <w:t>For</w:t>
      </w:r>
      <w:r w:rsidR="00AD25DC">
        <w:t xml:space="preserve"> example, imagine we measure the IQ </w:t>
      </w:r>
      <w:r>
        <w:t xml:space="preserve">of </w:t>
      </w:r>
      <w:r w:rsidR="00AD25DC">
        <w:t>a modest number of people.</w:t>
      </w:r>
      <w:r w:rsidR="00F846FC">
        <w:t xml:space="preserve"> </w:t>
      </w:r>
      <w:r w:rsidR="00AD25DC">
        <w:t xml:space="preserve">When we discover that </w:t>
      </w:r>
      <w:r w:rsidR="00B60824">
        <w:t xml:space="preserve">an </w:t>
      </w:r>
      <w:r w:rsidR="00AD25DC">
        <w:t>individual has an IQ of 200, we ought to be surprised.</w:t>
      </w:r>
      <w:r w:rsidR="00F846FC">
        <w:t xml:space="preserve"> </w:t>
      </w:r>
      <w:r w:rsidR="00AD25DC">
        <w:t xml:space="preserve">After all, an IQ that high is so extremely rare (statistically speaking) </w:t>
      </w:r>
      <w:r>
        <w:t xml:space="preserve">that </w:t>
      </w:r>
      <w:r w:rsidR="00AD25DC">
        <w:t>it has only been measured in a handful of people.</w:t>
      </w:r>
      <w:r w:rsidR="00F846FC">
        <w:t xml:space="preserve"> </w:t>
      </w:r>
      <w:r w:rsidR="00AD25DC">
        <w:t>In a way, machine learning aims at tempering this surprise.</w:t>
      </w:r>
      <w:r w:rsidR="00F846FC">
        <w:t xml:space="preserve"> </w:t>
      </w:r>
      <w:r w:rsidR="00AD25DC">
        <w:t>With the right model, we could explain the high IQ in some way:  We would agree that an IQ of 200 is rare.</w:t>
      </w:r>
      <w:r w:rsidR="00F846FC">
        <w:t xml:space="preserve"> </w:t>
      </w:r>
      <w:r w:rsidR="00AD25DC">
        <w:t xml:space="preserve">But we would further point out that the </w:t>
      </w:r>
      <w:r w:rsidR="00AD25DC">
        <w:lastRenderedPageBreak/>
        <w:t>person with that IQ had parents who both had high IQs.</w:t>
      </w:r>
      <w:r w:rsidR="00F846FC">
        <w:t xml:space="preserve"> </w:t>
      </w:r>
      <w:r w:rsidR="00AD25DC">
        <w:t xml:space="preserve">We then point out that our model has found that aspect to be highly predictive of a </w:t>
      </w:r>
      <w:r w:rsidR="00F03B28">
        <w:t>person's</w:t>
      </w:r>
      <w:r w:rsidR="00AD25DC">
        <w:t xml:space="preserve"> IQ.</w:t>
      </w:r>
      <w:r w:rsidR="00F846FC">
        <w:t xml:space="preserve"> </w:t>
      </w:r>
      <w:r w:rsidR="00AD25DC">
        <w:t>We would therefore conclude that an IQ of 200 is still quite surprising, but less so, given the circumstantial evidence.</w:t>
      </w:r>
      <w:r w:rsidR="00F846FC">
        <w:t xml:space="preserve"> </w:t>
      </w:r>
      <w:r w:rsidR="00AD25DC">
        <w:t>We have explained some of the variance we observed in our data.</w:t>
      </w:r>
      <w:r w:rsidR="00F846FC">
        <w:t xml:space="preserve"> </w:t>
      </w:r>
      <w:r w:rsidR="00AD25DC">
        <w:t>Note that we are not trying to explain these highly unusual data points</w:t>
      </w:r>
      <w:r w:rsidR="00B60824">
        <w:t>. Instead, we</w:t>
      </w:r>
      <w:r w:rsidR="00AD25DC">
        <w:t xml:space="preserve"> are trying to explain the variance across all data points.</w:t>
      </w:r>
      <w:r w:rsidR="00F846FC">
        <w:t xml:space="preserve"> </w:t>
      </w:r>
      <w:r w:rsidR="00AD25DC">
        <w:t xml:space="preserve">If someone has an IQ very close to the population mean, our model </w:t>
      </w:r>
      <w:r>
        <w:t>must still get that right</w:t>
      </w:r>
      <w:r w:rsidR="00AD25DC">
        <w:t>.</w:t>
      </w:r>
      <w:r w:rsidR="00F846FC">
        <w:t xml:space="preserve"> </w:t>
      </w:r>
      <w:r w:rsidR="00AD25DC">
        <w:t xml:space="preserve">In this case, it will probably rely on the absence of factors that typically push a </w:t>
      </w:r>
      <w:r w:rsidR="00F03B28">
        <w:t>person's</w:t>
      </w:r>
      <w:r w:rsidR="00AD25DC">
        <w:t xml:space="preserve"> IQ to be exceptionally high (or low). </w:t>
      </w:r>
    </w:p>
    <w:p w14:paraId="71B2B00D" w14:textId="77777777" w:rsidR="009F5676" w:rsidRDefault="009F5676" w:rsidP="00AD25DC"/>
    <w:tbl>
      <w:tblPr>
        <w:tblStyle w:val="TableGrid"/>
        <w:tblW w:w="0" w:type="auto"/>
        <w:tblLook w:val="04A0" w:firstRow="1" w:lastRow="0" w:firstColumn="1" w:lastColumn="0" w:noHBand="0" w:noVBand="1"/>
      </w:tblPr>
      <w:tblGrid>
        <w:gridCol w:w="720"/>
        <w:gridCol w:w="7920"/>
        <w:gridCol w:w="720"/>
      </w:tblGrid>
      <w:tr w:rsidR="009F5676" w14:paraId="1DA477A9" w14:textId="77777777" w:rsidTr="00AE0B32">
        <w:tc>
          <w:tcPr>
            <w:tcW w:w="720" w:type="dxa"/>
            <w:tcBorders>
              <w:top w:val="nil"/>
              <w:left w:val="nil"/>
              <w:bottom w:val="nil"/>
              <w:right w:val="nil"/>
            </w:tcBorders>
          </w:tcPr>
          <w:p w14:paraId="3B242991" w14:textId="77777777" w:rsidR="00CF3898" w:rsidRDefault="00CF3898" w:rsidP="001B1E68"/>
        </w:tc>
        <w:tc>
          <w:tcPr>
            <w:tcW w:w="0" w:type="auto"/>
            <w:tcBorders>
              <w:top w:val="nil"/>
              <w:left w:val="nil"/>
              <w:bottom w:val="nil"/>
              <w:right w:val="nil"/>
            </w:tcBorders>
          </w:tcPr>
          <w:p w14:paraId="7EEBFB21" w14:textId="77777777" w:rsidR="00CF3898" w:rsidRDefault="009F5676" w:rsidP="001B1E68">
            <w:pPr>
              <w:jc w:val="center"/>
            </w:pPr>
            <w:r>
              <w:rPr>
                <w:noProof/>
              </w:rPr>
              <w:drawing>
                <wp:inline distT="0" distB="0" distL="0" distR="0" wp14:anchorId="4072C89E" wp14:editId="11B36915">
                  <wp:extent cx="2988526" cy="1988200"/>
                  <wp:effectExtent l="0" t="0" r="0" b="5715"/>
                  <wp:docPr id="21" name="Picture 21" descr="A picture containing text, person, standing,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text, person, standing, posing&#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17229" cy="2007296"/>
                          </a:xfrm>
                          <a:prstGeom prst="rect">
                            <a:avLst/>
                          </a:prstGeom>
                        </pic:spPr>
                      </pic:pic>
                    </a:graphicData>
                  </a:graphic>
                </wp:inline>
              </w:drawing>
            </w:r>
          </w:p>
          <w:p w14:paraId="755B6FEC" w14:textId="2AD3157C" w:rsidR="00AE0B32" w:rsidRDefault="00AE0B32" w:rsidP="001B1E68">
            <w:pPr>
              <w:jc w:val="center"/>
            </w:pPr>
          </w:p>
        </w:tc>
        <w:tc>
          <w:tcPr>
            <w:tcW w:w="720" w:type="dxa"/>
            <w:tcBorders>
              <w:top w:val="nil"/>
              <w:left w:val="nil"/>
              <w:bottom w:val="nil"/>
              <w:right w:val="nil"/>
            </w:tcBorders>
          </w:tcPr>
          <w:p w14:paraId="4FE19F2E" w14:textId="77777777" w:rsidR="00CF3898" w:rsidRPr="00F4682F" w:rsidRDefault="00CF3898" w:rsidP="001B1E68">
            <w:pPr>
              <w:rPr>
                <w:sz w:val="20"/>
                <w:szCs w:val="20"/>
              </w:rPr>
            </w:pPr>
          </w:p>
        </w:tc>
      </w:tr>
      <w:tr w:rsidR="009F5676" w14:paraId="48F2C11A" w14:textId="77777777" w:rsidTr="00AE0B32">
        <w:tc>
          <w:tcPr>
            <w:tcW w:w="720" w:type="dxa"/>
            <w:tcBorders>
              <w:top w:val="nil"/>
              <w:left w:val="nil"/>
              <w:bottom w:val="nil"/>
              <w:right w:val="nil"/>
            </w:tcBorders>
          </w:tcPr>
          <w:p w14:paraId="498F60F7" w14:textId="77777777" w:rsidR="00CF3898" w:rsidRDefault="00CF3898" w:rsidP="001B1E68"/>
        </w:tc>
        <w:tc>
          <w:tcPr>
            <w:tcW w:w="0" w:type="auto"/>
            <w:tcBorders>
              <w:top w:val="nil"/>
              <w:left w:val="nil"/>
              <w:bottom w:val="nil"/>
              <w:right w:val="nil"/>
            </w:tcBorders>
          </w:tcPr>
          <w:p w14:paraId="1C87C404" w14:textId="0767E0B6" w:rsidR="00CF3898" w:rsidRPr="00F4682F" w:rsidRDefault="00CF3898" w:rsidP="001B1E68">
            <w:pPr>
              <w:rPr>
                <w:sz w:val="20"/>
                <w:szCs w:val="20"/>
              </w:rPr>
            </w:pPr>
            <w:r w:rsidRPr="00CF3898">
              <w:rPr>
                <w:b/>
                <w:bCs/>
                <w:sz w:val="20"/>
                <w:szCs w:val="20"/>
              </w:rPr>
              <w:t>Figure 14.10</w:t>
            </w:r>
            <w:r w:rsidRPr="00CF3898">
              <w:rPr>
                <w:sz w:val="20"/>
                <w:szCs w:val="20"/>
              </w:rPr>
              <w:t xml:space="preserve"> - </w:t>
            </w:r>
            <w:r w:rsidR="0085710D">
              <w:rPr>
                <w:sz w:val="20"/>
                <w:szCs w:val="20"/>
              </w:rPr>
              <w:t xml:space="preserve">IQ </w:t>
            </w:r>
            <w:r w:rsidRPr="00CF3898">
              <w:rPr>
                <w:sz w:val="20"/>
                <w:szCs w:val="20"/>
              </w:rPr>
              <w:t>validity, precision</w:t>
            </w:r>
            <w:r w:rsidR="00B60824">
              <w:rPr>
                <w:sz w:val="20"/>
                <w:szCs w:val="20"/>
              </w:rPr>
              <w:t>,</w:t>
            </w:r>
            <w:r w:rsidRPr="00CF3898">
              <w:rPr>
                <w:sz w:val="20"/>
                <w:szCs w:val="20"/>
              </w:rPr>
              <w:t xml:space="preserve"> and use </w:t>
            </w:r>
            <w:r w:rsidR="00B60824">
              <w:rPr>
                <w:sz w:val="20"/>
                <w:szCs w:val="20"/>
              </w:rPr>
              <w:t>have remained</w:t>
            </w:r>
            <w:r w:rsidRPr="00CF3898">
              <w:rPr>
                <w:sz w:val="20"/>
                <w:szCs w:val="20"/>
              </w:rPr>
              <w:t xml:space="preserve"> controversial ever since their inception by French psychologist and neuroscientist Binet.</w:t>
            </w:r>
            <w:r w:rsidR="00F846FC">
              <w:rPr>
                <w:sz w:val="20"/>
                <w:szCs w:val="20"/>
              </w:rPr>
              <w:t xml:space="preserve"> </w:t>
            </w:r>
            <w:r w:rsidR="00F03B28">
              <w:rPr>
                <w:sz w:val="20"/>
                <w:szCs w:val="20"/>
              </w:rPr>
              <w:t>"</w:t>
            </w:r>
            <w:r w:rsidRPr="00CF3898">
              <w:rPr>
                <w:sz w:val="20"/>
                <w:szCs w:val="20"/>
              </w:rPr>
              <w:t>IQ is what an IQ test measures</w:t>
            </w:r>
            <w:r w:rsidR="00F03B28">
              <w:rPr>
                <w:sz w:val="20"/>
                <w:szCs w:val="20"/>
              </w:rPr>
              <w:t>"</w:t>
            </w:r>
            <w:r w:rsidRPr="00CF3898">
              <w:rPr>
                <w:sz w:val="20"/>
                <w:szCs w:val="20"/>
              </w:rPr>
              <w:t xml:space="preserve"> is a joke amongst </w:t>
            </w:r>
            <w:r w:rsidR="009F5676" w:rsidRPr="00CF3898">
              <w:rPr>
                <w:sz w:val="20"/>
                <w:szCs w:val="20"/>
              </w:rPr>
              <w:t>psychologists and</w:t>
            </w:r>
            <w:r w:rsidRPr="00CF3898">
              <w:rPr>
                <w:sz w:val="20"/>
                <w:szCs w:val="20"/>
              </w:rPr>
              <w:t xml:space="preserve"> acknowledges that the test seems to measure some stable and reproducible quantity that varies across people but that it is unclear how exactly it relates to human intelligence as a broad and multifaceted quality that can take on many different forms.</w:t>
            </w:r>
            <w:r w:rsidR="00F846FC">
              <w:rPr>
                <w:sz w:val="20"/>
                <w:szCs w:val="20"/>
              </w:rPr>
              <w:t xml:space="preserve"> </w:t>
            </w:r>
            <w:r w:rsidRPr="00CF3898">
              <w:rPr>
                <w:sz w:val="20"/>
                <w:szCs w:val="20"/>
              </w:rPr>
              <w:t xml:space="preserve">That </w:t>
            </w:r>
            <w:r w:rsidR="00F03B28">
              <w:rPr>
                <w:sz w:val="20"/>
                <w:szCs w:val="20"/>
              </w:rPr>
              <w:t>doesn't</w:t>
            </w:r>
            <w:r w:rsidRPr="00CF3898">
              <w:rPr>
                <w:sz w:val="20"/>
                <w:szCs w:val="20"/>
              </w:rPr>
              <w:t xml:space="preserve"> mean there are some </w:t>
            </w:r>
            <w:r w:rsidR="0085710D">
              <w:rPr>
                <w:sz w:val="20"/>
                <w:szCs w:val="20"/>
              </w:rPr>
              <w:t>brilliant</w:t>
            </w:r>
            <w:r w:rsidRPr="00CF3898">
              <w:rPr>
                <w:sz w:val="20"/>
                <w:szCs w:val="20"/>
              </w:rPr>
              <w:t xml:space="preserve"> individuals, like mathematician Terence Tao </w:t>
            </w:r>
            <w:r w:rsidR="009F5676">
              <w:rPr>
                <w:sz w:val="20"/>
                <w:szCs w:val="20"/>
              </w:rPr>
              <w:t xml:space="preserve">and physicist Marie Curie, both </w:t>
            </w:r>
            <w:r w:rsidRPr="00CF3898">
              <w:rPr>
                <w:sz w:val="20"/>
                <w:szCs w:val="20"/>
              </w:rPr>
              <w:t xml:space="preserve">with </w:t>
            </w:r>
            <w:r w:rsidR="009F5676">
              <w:rPr>
                <w:sz w:val="20"/>
                <w:szCs w:val="20"/>
              </w:rPr>
              <w:t xml:space="preserve">estimated </w:t>
            </w:r>
            <w:r w:rsidRPr="00CF3898">
              <w:rPr>
                <w:sz w:val="20"/>
                <w:szCs w:val="20"/>
              </w:rPr>
              <w:t>IQ</w:t>
            </w:r>
            <w:r w:rsidR="009F5676">
              <w:rPr>
                <w:sz w:val="20"/>
                <w:szCs w:val="20"/>
              </w:rPr>
              <w:t>s</w:t>
            </w:r>
            <w:r w:rsidRPr="00CF3898">
              <w:rPr>
                <w:sz w:val="20"/>
                <w:szCs w:val="20"/>
              </w:rPr>
              <w:t xml:space="preserve"> of around 20</w:t>
            </w:r>
            <w:r>
              <w:rPr>
                <w:sz w:val="20"/>
                <w:szCs w:val="20"/>
              </w:rPr>
              <w:t>0</w:t>
            </w:r>
            <w:r w:rsidR="009F5676">
              <w:rPr>
                <w:sz w:val="20"/>
                <w:szCs w:val="20"/>
              </w:rPr>
              <w:t>.</w:t>
            </w:r>
            <w:r w:rsidR="00F846FC">
              <w:rPr>
                <w:sz w:val="20"/>
                <w:szCs w:val="20"/>
              </w:rPr>
              <w:t xml:space="preserve"> </w:t>
            </w:r>
            <w:r w:rsidR="009F5676">
              <w:rPr>
                <w:sz w:val="20"/>
                <w:szCs w:val="20"/>
              </w:rPr>
              <w:t xml:space="preserve">Note that </w:t>
            </w:r>
            <w:r w:rsidR="009F5676">
              <w:rPr>
                <w:sz w:val="20"/>
                <w:szCs w:val="20"/>
              </w:rPr>
              <w:lastRenderedPageBreak/>
              <w:t xml:space="preserve">Marie Curie </w:t>
            </w:r>
            <w:r w:rsidR="00B60824">
              <w:rPr>
                <w:sz w:val="20"/>
                <w:szCs w:val="20"/>
              </w:rPr>
              <w:t xml:space="preserve">was </w:t>
            </w:r>
            <w:r w:rsidR="009F5676">
              <w:rPr>
                <w:sz w:val="20"/>
                <w:szCs w:val="20"/>
              </w:rPr>
              <w:t xml:space="preserve">one of 4 people ever to have been awarded the Nobel Prize twice. </w:t>
            </w:r>
          </w:p>
        </w:tc>
        <w:tc>
          <w:tcPr>
            <w:tcW w:w="720" w:type="dxa"/>
            <w:tcBorders>
              <w:top w:val="nil"/>
              <w:left w:val="nil"/>
              <w:bottom w:val="nil"/>
              <w:right w:val="nil"/>
            </w:tcBorders>
          </w:tcPr>
          <w:p w14:paraId="1F779097" w14:textId="77777777" w:rsidR="00CF3898" w:rsidRDefault="00CF3898" w:rsidP="001B1E68"/>
        </w:tc>
      </w:tr>
    </w:tbl>
    <w:p w14:paraId="1A7FFD46" w14:textId="77777777" w:rsidR="00CF3898" w:rsidRDefault="00CF3898" w:rsidP="00AD25DC"/>
    <w:p w14:paraId="55C25CB4" w14:textId="3691113D" w:rsidR="00AD25DC" w:rsidRDefault="00AD25DC" w:rsidP="00AD25DC">
      <w:r>
        <w:t xml:space="preserve">However, </w:t>
      </w:r>
      <w:r w:rsidR="0085710D">
        <w:t>suppose</w:t>
      </w:r>
      <w:r>
        <w:t xml:space="preserve"> we </w:t>
      </w:r>
      <w:r w:rsidR="00F03B28">
        <w:t>can't</w:t>
      </w:r>
      <w:r>
        <w:t xml:space="preserve"> find the right reasons to explain why we observe </w:t>
      </w:r>
      <w:r w:rsidR="0085710D">
        <w:t>an exceptionally</w:t>
      </w:r>
      <w:r>
        <w:t xml:space="preserve"> high IQ</w:t>
      </w:r>
      <w:r w:rsidR="0085710D">
        <w:t>. In that case,</w:t>
      </w:r>
      <w:r>
        <w:t xml:space="preserve"> we might be forced to conclude that the variation in IQ is unexplainable and due to some random process or that we simply did not include the things to are predictive as inputs to our model, possibly phrased as follows: </w:t>
      </w:r>
      <w:r w:rsidR="00F03B28">
        <w:t>"</w:t>
      </w:r>
      <w:r>
        <w:t>that person has an IQ of 200?</w:t>
      </w:r>
      <w:r w:rsidR="00F846FC">
        <w:t xml:space="preserve"> </w:t>
      </w:r>
      <w:r>
        <w:t>That is surprising, given our model has found nothing that would have predicted that happening.</w:t>
      </w:r>
      <w:r w:rsidR="00F846FC">
        <w:t xml:space="preserve"> </w:t>
      </w:r>
      <w:r>
        <w:t>Either we missed some crucial aspect, or IQ is still more or less random</w:t>
      </w:r>
      <w:r w:rsidR="00F03B28">
        <w:t>"</w:t>
      </w:r>
      <w:r>
        <w:t>.</w:t>
      </w:r>
      <w:r w:rsidR="00F846FC">
        <w:t xml:space="preserve"> </w:t>
      </w:r>
      <w:r>
        <w:t>We will typically find ourselves somewhere in between these two extremes.</w:t>
      </w:r>
      <w:r w:rsidR="00F846FC">
        <w:t xml:space="preserve"> </w:t>
      </w:r>
      <w:r>
        <w:t xml:space="preserve">We can </w:t>
      </w:r>
      <w:r w:rsidR="00B90717">
        <w:t>discover</w:t>
      </w:r>
      <w:r>
        <w:t xml:space="preserve"> </w:t>
      </w:r>
      <w:r w:rsidR="0085710D">
        <w:t>predictive things</w:t>
      </w:r>
      <w:r>
        <w:t xml:space="preserve">, but they rarely are </w:t>
      </w:r>
      <w:r w:rsidR="0085710D">
        <w:t>entirely</w:t>
      </w:r>
      <w:r>
        <w:t xml:space="preserve"> deterministic.</w:t>
      </w:r>
      <w:r w:rsidR="00F846FC">
        <w:t xml:space="preserve"> </w:t>
      </w:r>
      <w:r>
        <w:t>We might overlook or not have measured other variables that could add predictive variance explaining power.</w:t>
      </w:r>
      <w:r w:rsidR="00F846FC">
        <w:t xml:space="preserve"> </w:t>
      </w:r>
      <w:r>
        <w:t>And we are bound to have some measurement error in our data to begin with, which can never be explained.</w:t>
      </w:r>
      <w:r w:rsidR="00F846FC">
        <w:t xml:space="preserve"> </w:t>
      </w:r>
      <w:r>
        <w:t xml:space="preserve">In other words, there will be residual variance in </w:t>
      </w:r>
      <w:r w:rsidR="00B60824">
        <w:t>our</w:t>
      </w:r>
      <w:r>
        <w:t xml:space="preserve"> outcome data that </w:t>
      </w:r>
      <w:r w:rsidR="00F03B28">
        <w:t>isn't</w:t>
      </w:r>
      <w:r>
        <w:t xml:space="preserve"> explained by our model.</w:t>
      </w:r>
      <w:r w:rsidR="00F846FC">
        <w:t xml:space="preserve"> </w:t>
      </w:r>
      <w:r>
        <w:t xml:space="preserve">To recap: in statistics, we often describe a </w:t>
      </w:r>
      <w:r w:rsidR="00F03B28">
        <w:t>variable's</w:t>
      </w:r>
      <w:r>
        <w:t xml:space="preserve"> variance.</w:t>
      </w:r>
      <w:r w:rsidR="00F846FC">
        <w:t xml:space="preserve"> </w:t>
      </w:r>
      <w:r>
        <w:t>In machine learning, we are interested in how much of that variance can be explained by our model.</w:t>
      </w:r>
      <w:r w:rsidR="00F846FC">
        <w:t xml:space="preserve"> </w:t>
      </w:r>
      <w:r>
        <w:t>Our model, in turn, will use input data to get close to what is observed as actual output.</w:t>
      </w:r>
      <w:r w:rsidR="00F846FC">
        <w:t xml:space="preserve"> </w:t>
      </w:r>
      <w:r>
        <w:t>Whatever our model cannot explain is considered residual variance.</w:t>
      </w:r>
      <w:r w:rsidR="00F846FC">
        <w:t xml:space="preserve"> </w:t>
      </w:r>
      <w:r w:rsidR="00C974D3">
        <w:t>A</w:t>
      </w:r>
      <w:r>
        <w:t xml:space="preserve"> good model will explain a substantial amount of the variance and leave little residual variance.</w:t>
      </w:r>
      <w:r w:rsidR="00F846FC">
        <w:t xml:space="preserve"> </w:t>
      </w:r>
      <w:r>
        <w:t>This ratio between total</w:t>
      </w:r>
      <w:r w:rsidR="00B60824">
        <w:t xml:space="preserve">, </w:t>
      </w:r>
      <w:r>
        <w:t>explained</w:t>
      </w:r>
      <w:r w:rsidR="00B60824">
        <w:t>,</w:t>
      </w:r>
      <w:r>
        <w:t xml:space="preserve"> and residual variance gives rise to the r-squared metric, which we will discuss next. </w:t>
      </w:r>
    </w:p>
    <w:p w14:paraId="1C6B4201" w14:textId="77777777" w:rsidR="00AD25DC" w:rsidRDefault="00AD25DC" w:rsidP="00AD25DC"/>
    <w:p w14:paraId="3C140977" w14:textId="77777777" w:rsidR="00AE0B32" w:rsidRDefault="00AE0B32">
      <w:pPr>
        <w:spacing w:line="240" w:lineRule="auto"/>
        <w:rPr>
          <w:rFonts w:eastAsiaTheme="minorHAnsi" w:cstheme="minorBidi"/>
          <w:b/>
          <w:bCs/>
        </w:rPr>
      </w:pPr>
      <w:r>
        <w:br w:type="page"/>
      </w:r>
    </w:p>
    <w:p w14:paraId="59CFE752" w14:textId="3E0E0CF6" w:rsidR="00AD25DC" w:rsidRDefault="00AD25DC" w:rsidP="00AD25DC">
      <w:pPr>
        <w:pStyle w:val="Heading3"/>
      </w:pPr>
      <w:r>
        <w:lastRenderedPageBreak/>
        <w:t>14.12 - SST, SSE, SSR</w:t>
      </w:r>
    </w:p>
    <w:p w14:paraId="17EA0F28" w14:textId="7D758074" w:rsidR="00AD25DC" w:rsidRDefault="00AD25DC" w:rsidP="00AD25DC">
      <w:r>
        <w:t>Formalizing the above, let us work through the computations needed to arrive at the r-squared value.</w:t>
      </w:r>
      <w:r w:rsidR="00F846FC">
        <w:t xml:space="preserve"> </w:t>
      </w:r>
      <w:r>
        <w:t>In the previous chapter on statistics, we defined the mean, variance, and standard deviations and outlined the formulas we need to compute them.</w:t>
      </w:r>
      <w:r w:rsidR="00F846FC">
        <w:t xml:space="preserve"> </w:t>
      </w:r>
      <w:r>
        <w:t xml:space="preserve">In machine learning, it is common practice to use the intermediate precursor metrics, which carry the same information but are not standardized </w:t>
      </w:r>
      <w:r w:rsidR="00B90717">
        <w:t>and</w:t>
      </w:r>
      <w:r>
        <w:t xml:space="preserve"> normalized.</w:t>
      </w:r>
      <w:r w:rsidR="00F846FC">
        <w:t xml:space="preserve"> </w:t>
      </w:r>
      <w:r>
        <w:t xml:space="preserve">In the end, the metrics computed </w:t>
      </w:r>
      <w:r w:rsidR="00F03B28">
        <w:t>aren't</w:t>
      </w:r>
      <w:r>
        <w:t xml:space="preserve"> any different</w:t>
      </w:r>
      <w:r w:rsidR="00C974D3">
        <w:t>. They appear</w:t>
      </w:r>
      <w:r>
        <w:t xml:space="preserve"> to be based on different conventions </w:t>
      </w:r>
      <w:r w:rsidR="00B60824">
        <w:t xml:space="preserve">and </w:t>
      </w:r>
      <w:r>
        <w:t>disciplines brought to the table at various points during the development of machine learning algorithms.</w:t>
      </w:r>
      <w:r w:rsidR="00F846FC">
        <w:t xml:space="preserve"> </w:t>
      </w:r>
      <w:r>
        <w:t xml:space="preserve">Remember our original formula for the population variance of a variable y: </w:t>
      </w:r>
    </w:p>
    <w:p w14:paraId="09542742" w14:textId="23AF793A" w:rsidR="00AD25DC" w:rsidRDefault="00AD25DC" w:rsidP="00AD25D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908"/>
        <w:gridCol w:w="732"/>
      </w:tblGrid>
      <w:tr w:rsidR="009F5676" w14:paraId="161A4963" w14:textId="77777777" w:rsidTr="00AE0B32">
        <w:tc>
          <w:tcPr>
            <w:tcW w:w="720" w:type="dxa"/>
          </w:tcPr>
          <w:p w14:paraId="7835F1E1" w14:textId="77777777" w:rsidR="009F5676" w:rsidRDefault="009F5676" w:rsidP="001B1E68"/>
        </w:tc>
        <w:tc>
          <w:tcPr>
            <w:tcW w:w="0" w:type="auto"/>
          </w:tcPr>
          <w:p w14:paraId="488D4491" w14:textId="5BE4F1FF" w:rsidR="009F5676" w:rsidRDefault="00AE0B32" w:rsidP="001B1E68">
            <w:pPr>
              <w:jc w:val="center"/>
            </w:pPr>
            <w:r>
              <w:rPr>
                <w:noProof/>
              </w:rPr>
              <w:drawing>
                <wp:inline distT="0" distB="0" distL="0" distR="0" wp14:anchorId="7924AF3B" wp14:editId="60EECCA4">
                  <wp:extent cx="1371600" cy="59699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11">
                            <a:extLst>
                              <a:ext uri="{28A0092B-C50C-407E-A947-70E740481C1C}">
                                <a14:useLocalDpi xmlns:a14="http://schemas.microsoft.com/office/drawing/2010/main" val="0"/>
                              </a:ext>
                            </a:extLst>
                          </a:blip>
                          <a:stretch>
                            <a:fillRect/>
                          </a:stretch>
                        </pic:blipFill>
                        <pic:spPr>
                          <a:xfrm>
                            <a:off x="0" y="0"/>
                            <a:ext cx="1371600" cy="596991"/>
                          </a:xfrm>
                          <a:prstGeom prst="rect">
                            <a:avLst/>
                          </a:prstGeom>
                        </pic:spPr>
                      </pic:pic>
                    </a:graphicData>
                  </a:graphic>
                </wp:inline>
              </w:drawing>
            </w:r>
          </w:p>
        </w:tc>
        <w:tc>
          <w:tcPr>
            <w:tcW w:w="720" w:type="dxa"/>
            <w:vAlign w:val="center"/>
          </w:tcPr>
          <w:p w14:paraId="6E8C4404" w14:textId="2B4F63C1" w:rsidR="009F5676" w:rsidRPr="00F4682F" w:rsidRDefault="009F5676" w:rsidP="00AE0B32">
            <w:pPr>
              <w:jc w:val="right"/>
              <w:rPr>
                <w:sz w:val="20"/>
                <w:szCs w:val="20"/>
              </w:rPr>
            </w:pPr>
            <w:r w:rsidRPr="00F4682F">
              <w:rPr>
                <w:sz w:val="20"/>
                <w:szCs w:val="20"/>
              </w:rPr>
              <w:t>(14.</w:t>
            </w:r>
            <w:r>
              <w:rPr>
                <w:sz w:val="20"/>
                <w:szCs w:val="20"/>
              </w:rPr>
              <w:t>2</w:t>
            </w:r>
            <w:r w:rsidRPr="00F4682F">
              <w:rPr>
                <w:sz w:val="20"/>
                <w:szCs w:val="20"/>
              </w:rPr>
              <w:t>)</w:t>
            </w:r>
          </w:p>
        </w:tc>
      </w:tr>
      <w:tr w:rsidR="009F5676" w14:paraId="16D4F93B" w14:textId="77777777" w:rsidTr="00AE0B32">
        <w:tc>
          <w:tcPr>
            <w:tcW w:w="720" w:type="dxa"/>
          </w:tcPr>
          <w:p w14:paraId="097E1F3A" w14:textId="77777777" w:rsidR="009F5676" w:rsidRDefault="009F5676" w:rsidP="001B1E68"/>
        </w:tc>
        <w:tc>
          <w:tcPr>
            <w:tcW w:w="0" w:type="auto"/>
          </w:tcPr>
          <w:p w14:paraId="4680B9C1" w14:textId="1ED38E59" w:rsidR="009F5676" w:rsidRPr="00F4682F" w:rsidRDefault="009F5676" w:rsidP="001B1E68">
            <w:pPr>
              <w:rPr>
                <w:sz w:val="20"/>
                <w:szCs w:val="20"/>
              </w:rPr>
            </w:pPr>
            <w:r w:rsidRPr="00F4682F">
              <w:rPr>
                <w:b/>
                <w:bCs/>
                <w:sz w:val="20"/>
                <w:szCs w:val="20"/>
              </w:rPr>
              <w:t>Equation 14.</w:t>
            </w:r>
            <w:r>
              <w:rPr>
                <w:b/>
                <w:bCs/>
                <w:sz w:val="20"/>
                <w:szCs w:val="20"/>
              </w:rPr>
              <w:t>2</w:t>
            </w:r>
            <w:r w:rsidRPr="00F4682F">
              <w:rPr>
                <w:b/>
                <w:bCs/>
                <w:sz w:val="20"/>
                <w:szCs w:val="20"/>
              </w:rPr>
              <w:t xml:space="preserve"> </w:t>
            </w:r>
            <w:r w:rsidRPr="00F4682F">
              <w:rPr>
                <w:sz w:val="20"/>
                <w:szCs w:val="20"/>
              </w:rPr>
              <w:t xml:space="preserve">- </w:t>
            </w:r>
            <w:r w:rsidRPr="009F5676">
              <w:rPr>
                <w:sz w:val="20"/>
                <w:szCs w:val="20"/>
              </w:rPr>
              <w:t>The population variance of a variable y.</w:t>
            </w:r>
            <w:r w:rsidR="00F846FC">
              <w:rPr>
                <w:sz w:val="20"/>
                <w:szCs w:val="20"/>
              </w:rPr>
              <w:t xml:space="preserve"> </w:t>
            </w:r>
            <w:r w:rsidRPr="009F5676">
              <w:rPr>
                <w:sz w:val="20"/>
                <w:szCs w:val="20"/>
              </w:rPr>
              <w:t xml:space="preserve">For generic formulas that describe </w:t>
            </w:r>
            <w:r w:rsidR="0085710D">
              <w:rPr>
                <w:sz w:val="20"/>
                <w:szCs w:val="20"/>
              </w:rPr>
              <w:t>specific</w:t>
            </w:r>
            <w:r w:rsidRPr="009F5676">
              <w:rPr>
                <w:sz w:val="20"/>
                <w:szCs w:val="20"/>
              </w:rPr>
              <w:t xml:space="preserve"> statistical properties, such as moments, we will typically use a variable x, indexed by i.</w:t>
            </w:r>
            <w:r w:rsidR="00F846FC">
              <w:rPr>
                <w:sz w:val="20"/>
                <w:szCs w:val="20"/>
              </w:rPr>
              <w:t xml:space="preserve"> </w:t>
            </w:r>
            <w:r w:rsidRPr="009F5676">
              <w:rPr>
                <w:sz w:val="20"/>
                <w:szCs w:val="20"/>
              </w:rPr>
              <w:t xml:space="preserve">In machine learning, we typically reserve x to denote an input variable </w:t>
            </w:r>
            <w:r w:rsidR="00B60824">
              <w:rPr>
                <w:sz w:val="20"/>
                <w:szCs w:val="20"/>
              </w:rPr>
              <w:t xml:space="preserve">and </w:t>
            </w:r>
            <w:r w:rsidRPr="009F5676">
              <w:rPr>
                <w:sz w:val="20"/>
                <w:szCs w:val="20"/>
              </w:rPr>
              <w:t>y as an output variable.</w:t>
            </w:r>
            <w:r w:rsidR="00F846FC">
              <w:rPr>
                <w:sz w:val="20"/>
                <w:szCs w:val="20"/>
              </w:rPr>
              <w:t xml:space="preserve"> </w:t>
            </w:r>
            <w:r w:rsidRPr="009F5676">
              <w:rPr>
                <w:sz w:val="20"/>
                <w:szCs w:val="20"/>
              </w:rPr>
              <w:t>This is true for Equation 14.1, which relates input variable x to output variable y.</w:t>
            </w:r>
            <w:r w:rsidR="00F846FC">
              <w:rPr>
                <w:sz w:val="20"/>
                <w:szCs w:val="20"/>
              </w:rPr>
              <w:t xml:space="preserve"> </w:t>
            </w:r>
            <w:r w:rsidRPr="009F5676">
              <w:rPr>
                <w:sz w:val="20"/>
                <w:szCs w:val="20"/>
              </w:rPr>
              <w:t xml:space="preserve">However, here x denotes any random variable over which we can compute </w:t>
            </w:r>
            <w:r w:rsidR="00B60824">
              <w:rPr>
                <w:sz w:val="20"/>
                <w:szCs w:val="20"/>
              </w:rPr>
              <w:t xml:space="preserve">the </w:t>
            </w:r>
            <w:r w:rsidRPr="009F5676">
              <w:rPr>
                <w:sz w:val="20"/>
                <w:szCs w:val="20"/>
              </w:rPr>
              <w:t xml:space="preserve">variance. </w:t>
            </w:r>
            <w:r w:rsidRPr="00F4682F">
              <w:rPr>
                <w:sz w:val="20"/>
                <w:szCs w:val="20"/>
              </w:rPr>
              <w:t xml:space="preserve"> </w:t>
            </w:r>
          </w:p>
        </w:tc>
        <w:tc>
          <w:tcPr>
            <w:tcW w:w="720" w:type="dxa"/>
          </w:tcPr>
          <w:p w14:paraId="5362F81B" w14:textId="77777777" w:rsidR="009F5676" w:rsidRDefault="009F5676" w:rsidP="001B1E68"/>
        </w:tc>
      </w:tr>
    </w:tbl>
    <w:p w14:paraId="5AF67E2A" w14:textId="77777777" w:rsidR="00AD25DC" w:rsidRDefault="00AD25DC" w:rsidP="00AD25DC"/>
    <w:p w14:paraId="3D52EACC" w14:textId="727A84E3" w:rsidR="00AD25DC" w:rsidRDefault="00AD25DC" w:rsidP="00AD25DC">
      <w:r>
        <w:t>Notice that the last step in computing the variance is to divide it by the number of elements in variable x.</w:t>
      </w:r>
      <w:r w:rsidR="00F846FC">
        <w:t xml:space="preserve"> </w:t>
      </w:r>
      <w:r>
        <w:t>In other words, the variance of variable x is an average across all elements of x.</w:t>
      </w:r>
      <w:r w:rsidR="00F846FC">
        <w:t xml:space="preserve"> </w:t>
      </w:r>
      <w:r>
        <w:t>Before we normalize, however, we already have a useful precursor of variance, known as the Sum of Squares.</w:t>
      </w:r>
      <w:r w:rsidR="00F846FC">
        <w:t xml:space="preserve"> </w:t>
      </w:r>
      <w:r>
        <w:t xml:space="preserve">It is called that way for an </w:t>
      </w:r>
      <w:r w:rsidR="0085710D">
        <w:t>apparent</w:t>
      </w:r>
      <w:r>
        <w:t xml:space="preserve"> reason: we square the difference between each </w:t>
      </w:r>
      <w:r w:rsidR="00B60824">
        <w:t>data point</w:t>
      </w:r>
      <w:r>
        <w:t xml:space="preserve"> x</w:t>
      </w:r>
      <w:r w:rsidRPr="00B60824">
        <w:rPr>
          <w:vertAlign w:val="subscript"/>
        </w:rPr>
        <w:t>i</w:t>
      </w:r>
      <w:r>
        <w:t xml:space="preserve"> and the mean of x: (x</w:t>
      </w:r>
      <w:r w:rsidRPr="00F2190E">
        <w:rPr>
          <w:vertAlign w:val="subscript"/>
        </w:rPr>
        <w:t>i</w:t>
      </w:r>
      <w:r>
        <w:t xml:space="preserve"> - x)</w:t>
      </w:r>
      <w:r w:rsidRPr="00F2190E">
        <w:rPr>
          <w:vertAlign w:val="superscript"/>
        </w:rPr>
        <w:t>2</w:t>
      </w:r>
      <w:r>
        <w:t xml:space="preserve"> and sum them all together.</w:t>
      </w:r>
      <w:r w:rsidR="00F846FC">
        <w:t xml:space="preserve"> </w:t>
      </w:r>
      <w:r>
        <w:t xml:space="preserve">This Sum of Squares </w:t>
      </w:r>
      <w:r w:rsidR="00C974D3">
        <w:t>measures</w:t>
      </w:r>
      <w:r>
        <w:t xml:space="preserve"> the </w:t>
      </w:r>
      <w:r>
        <w:lastRenderedPageBreak/>
        <w:t>variance in x and only x.</w:t>
      </w:r>
      <w:r w:rsidR="00F846FC">
        <w:t xml:space="preserve"> </w:t>
      </w:r>
      <w:r>
        <w:t xml:space="preserve">We refer to it as the Sum of Squares Total or SST, defined in Figure 14.3, because it captures the total variation observed in x, independent </w:t>
      </w:r>
      <w:r w:rsidR="00C974D3">
        <w:t>of</w:t>
      </w:r>
      <w:r>
        <w:t xml:space="preserve"> any other variable we could use to explain the variance in x.</w:t>
      </w:r>
      <w:r w:rsidR="00F846FC">
        <w:t xml:space="preserve"> </w:t>
      </w:r>
      <w:r>
        <w:t>As we discussed above</w:t>
      </w:r>
      <w:r w:rsidR="0040068B">
        <w:t>,</w:t>
      </w:r>
      <w:r>
        <w:t xml:space="preserve"> in the context of IQ, we introduce a model to explain as much variance as possible in x.</w:t>
      </w:r>
      <w:r w:rsidR="00F846FC">
        <w:t xml:space="preserve"> </w:t>
      </w:r>
      <w:r>
        <w:t>This allows us to define two more quantities, the Sum of Squares Regression (SSR, Figure 14.4) and the Sum of Squares Error (SSE, Figure 14.5).</w:t>
      </w:r>
      <w:r w:rsidR="00F846FC">
        <w:t xml:space="preserve"> </w:t>
      </w:r>
      <w:r>
        <w:t>Theoretically, the SSR is the amount of SST we</w:t>
      </w:r>
      <w:r w:rsidR="0040068B">
        <w:t xml:space="preserve"> </w:t>
      </w:r>
      <w:r w:rsidR="00C974D3">
        <w:t>could</w:t>
      </w:r>
      <w:r>
        <w:t xml:space="preserve"> explain using our model</w:t>
      </w:r>
      <w:r w:rsidR="0040068B">
        <w:t>; the</w:t>
      </w:r>
      <w:r>
        <w:t xml:space="preserve"> SSE is whatever is left over.</w:t>
      </w:r>
      <w:r w:rsidR="00F846FC">
        <w:t xml:space="preserve"> </w:t>
      </w:r>
      <w:r>
        <w:t>From this</w:t>
      </w:r>
      <w:r w:rsidR="0040068B">
        <w:t>,</w:t>
      </w:r>
      <w:r>
        <w:t xml:space="preserve"> it naturally follows that SST = SSR + SSE. </w:t>
      </w:r>
    </w:p>
    <w:p w14:paraId="31067046" w14:textId="6172D76D" w:rsidR="00AD25DC" w:rsidRDefault="00AD25DC" w:rsidP="00AD25D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896"/>
        <w:gridCol w:w="744"/>
      </w:tblGrid>
      <w:tr w:rsidR="00F2190E" w14:paraId="3AE54E7E" w14:textId="77777777" w:rsidTr="00AE0B32">
        <w:tc>
          <w:tcPr>
            <w:tcW w:w="720" w:type="dxa"/>
          </w:tcPr>
          <w:p w14:paraId="03884376" w14:textId="77777777" w:rsidR="00F2190E" w:rsidRDefault="00F2190E" w:rsidP="001B1E68"/>
        </w:tc>
        <w:tc>
          <w:tcPr>
            <w:tcW w:w="0" w:type="auto"/>
          </w:tcPr>
          <w:p w14:paraId="1D90AEB5" w14:textId="2A72F584" w:rsidR="00AE0B32" w:rsidRDefault="00AE0B32" w:rsidP="001B1E68">
            <w:pPr>
              <w:jc w:val="center"/>
            </w:pPr>
            <w:r>
              <w:rPr>
                <w:noProof/>
              </w:rPr>
              <w:drawing>
                <wp:inline distT="0" distB="0" distL="0" distR="0" wp14:anchorId="2E709845" wp14:editId="221515EC">
                  <wp:extent cx="1828800" cy="59960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2">
                            <a:extLst>
                              <a:ext uri="{28A0092B-C50C-407E-A947-70E740481C1C}">
                                <a14:useLocalDpi xmlns:a14="http://schemas.microsoft.com/office/drawing/2010/main" val="0"/>
                              </a:ext>
                            </a:extLst>
                          </a:blip>
                          <a:stretch>
                            <a:fillRect/>
                          </a:stretch>
                        </pic:blipFill>
                        <pic:spPr>
                          <a:xfrm>
                            <a:off x="0" y="0"/>
                            <a:ext cx="1828800" cy="599607"/>
                          </a:xfrm>
                          <a:prstGeom prst="rect">
                            <a:avLst/>
                          </a:prstGeom>
                        </pic:spPr>
                      </pic:pic>
                    </a:graphicData>
                  </a:graphic>
                </wp:inline>
              </w:drawing>
            </w:r>
          </w:p>
        </w:tc>
        <w:tc>
          <w:tcPr>
            <w:tcW w:w="720" w:type="dxa"/>
            <w:vAlign w:val="center"/>
          </w:tcPr>
          <w:p w14:paraId="528B0901" w14:textId="3396E746" w:rsidR="00F2190E" w:rsidRPr="00F2190E" w:rsidRDefault="00F2190E" w:rsidP="00AE0B32">
            <w:pPr>
              <w:jc w:val="right"/>
              <w:rPr>
                <w:sz w:val="20"/>
                <w:szCs w:val="20"/>
              </w:rPr>
            </w:pPr>
            <w:r w:rsidRPr="00F2190E">
              <w:rPr>
                <w:sz w:val="20"/>
                <w:szCs w:val="20"/>
              </w:rPr>
              <w:t>(14.3)</w:t>
            </w:r>
          </w:p>
        </w:tc>
      </w:tr>
      <w:tr w:rsidR="00F2190E" w14:paraId="0387D7D7" w14:textId="77777777" w:rsidTr="00AE0B32">
        <w:tc>
          <w:tcPr>
            <w:tcW w:w="720" w:type="dxa"/>
          </w:tcPr>
          <w:p w14:paraId="348683ED" w14:textId="77777777" w:rsidR="00F2190E" w:rsidRDefault="00F2190E" w:rsidP="001B1E68"/>
        </w:tc>
        <w:tc>
          <w:tcPr>
            <w:tcW w:w="0" w:type="auto"/>
          </w:tcPr>
          <w:p w14:paraId="277FE581" w14:textId="17418B58" w:rsidR="00AE0B32" w:rsidRDefault="00AE0B32" w:rsidP="001B1E68">
            <w:pPr>
              <w:jc w:val="center"/>
            </w:pPr>
            <w:r>
              <w:rPr>
                <w:noProof/>
              </w:rPr>
              <w:drawing>
                <wp:inline distT="0" distB="0" distL="0" distR="0" wp14:anchorId="3E4358B8" wp14:editId="6FEE1285">
                  <wp:extent cx="1828800" cy="59570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3">
                            <a:extLst>
                              <a:ext uri="{28A0092B-C50C-407E-A947-70E740481C1C}">
                                <a14:useLocalDpi xmlns:a14="http://schemas.microsoft.com/office/drawing/2010/main" val="0"/>
                              </a:ext>
                            </a:extLst>
                          </a:blip>
                          <a:stretch>
                            <a:fillRect/>
                          </a:stretch>
                        </pic:blipFill>
                        <pic:spPr>
                          <a:xfrm>
                            <a:off x="0" y="0"/>
                            <a:ext cx="1828800" cy="595700"/>
                          </a:xfrm>
                          <a:prstGeom prst="rect">
                            <a:avLst/>
                          </a:prstGeom>
                        </pic:spPr>
                      </pic:pic>
                    </a:graphicData>
                  </a:graphic>
                </wp:inline>
              </w:drawing>
            </w:r>
          </w:p>
        </w:tc>
        <w:tc>
          <w:tcPr>
            <w:tcW w:w="720" w:type="dxa"/>
            <w:vAlign w:val="center"/>
          </w:tcPr>
          <w:p w14:paraId="7094477F" w14:textId="70C47408" w:rsidR="00F2190E" w:rsidRPr="00F2190E" w:rsidRDefault="00F2190E" w:rsidP="00AE0B32">
            <w:pPr>
              <w:jc w:val="right"/>
              <w:rPr>
                <w:sz w:val="20"/>
                <w:szCs w:val="20"/>
              </w:rPr>
            </w:pPr>
            <w:r w:rsidRPr="00F2190E">
              <w:rPr>
                <w:sz w:val="20"/>
                <w:szCs w:val="20"/>
              </w:rPr>
              <w:t>(14.4)</w:t>
            </w:r>
          </w:p>
        </w:tc>
      </w:tr>
      <w:tr w:rsidR="00F2190E" w14:paraId="3B9083F4" w14:textId="77777777" w:rsidTr="00AE0B32">
        <w:tc>
          <w:tcPr>
            <w:tcW w:w="720" w:type="dxa"/>
          </w:tcPr>
          <w:p w14:paraId="779EA411" w14:textId="77777777" w:rsidR="00F2190E" w:rsidRDefault="00F2190E" w:rsidP="001B1E68"/>
        </w:tc>
        <w:tc>
          <w:tcPr>
            <w:tcW w:w="0" w:type="auto"/>
          </w:tcPr>
          <w:p w14:paraId="1C09064E" w14:textId="488B5FE6" w:rsidR="00AE0B32" w:rsidRDefault="00AE0B32" w:rsidP="001B1E68">
            <w:pPr>
              <w:jc w:val="center"/>
            </w:pPr>
            <w:r>
              <w:rPr>
                <w:noProof/>
              </w:rPr>
              <w:drawing>
                <wp:inline distT="0" distB="0" distL="0" distR="0" wp14:anchorId="03BA9510" wp14:editId="3085A949">
                  <wp:extent cx="1828800" cy="161534"/>
                  <wp:effectExtent l="0" t="0" r="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14">
                            <a:extLst>
                              <a:ext uri="{28A0092B-C50C-407E-A947-70E740481C1C}">
                                <a14:useLocalDpi xmlns:a14="http://schemas.microsoft.com/office/drawing/2010/main" val="0"/>
                              </a:ext>
                            </a:extLst>
                          </a:blip>
                          <a:stretch>
                            <a:fillRect/>
                          </a:stretch>
                        </pic:blipFill>
                        <pic:spPr>
                          <a:xfrm>
                            <a:off x="0" y="0"/>
                            <a:ext cx="1828800" cy="161534"/>
                          </a:xfrm>
                          <a:prstGeom prst="rect">
                            <a:avLst/>
                          </a:prstGeom>
                        </pic:spPr>
                      </pic:pic>
                    </a:graphicData>
                  </a:graphic>
                </wp:inline>
              </w:drawing>
            </w:r>
          </w:p>
        </w:tc>
        <w:tc>
          <w:tcPr>
            <w:tcW w:w="720" w:type="dxa"/>
            <w:vAlign w:val="center"/>
          </w:tcPr>
          <w:p w14:paraId="2143A7FE" w14:textId="0400D2DF" w:rsidR="00F2190E" w:rsidRPr="00F2190E" w:rsidRDefault="00F2190E" w:rsidP="00AE0B32">
            <w:pPr>
              <w:jc w:val="right"/>
              <w:rPr>
                <w:sz w:val="20"/>
                <w:szCs w:val="20"/>
              </w:rPr>
            </w:pPr>
            <w:r w:rsidRPr="00F2190E">
              <w:rPr>
                <w:sz w:val="20"/>
                <w:szCs w:val="20"/>
              </w:rPr>
              <w:t>(14.5)</w:t>
            </w:r>
          </w:p>
        </w:tc>
      </w:tr>
      <w:tr w:rsidR="00F2190E" w14:paraId="4AC20BE8" w14:textId="77777777" w:rsidTr="00AE0B32">
        <w:tc>
          <w:tcPr>
            <w:tcW w:w="720" w:type="dxa"/>
          </w:tcPr>
          <w:p w14:paraId="0A011D88" w14:textId="77777777" w:rsidR="00F2190E" w:rsidRDefault="00F2190E" w:rsidP="001B1E68"/>
        </w:tc>
        <w:tc>
          <w:tcPr>
            <w:tcW w:w="0" w:type="auto"/>
          </w:tcPr>
          <w:p w14:paraId="3AA6F21A" w14:textId="77777777" w:rsidR="00AE0B32" w:rsidRDefault="00AE0B32" w:rsidP="001B1E68">
            <w:pPr>
              <w:rPr>
                <w:b/>
                <w:bCs/>
                <w:sz w:val="20"/>
                <w:szCs w:val="20"/>
              </w:rPr>
            </w:pPr>
          </w:p>
          <w:p w14:paraId="67D69124" w14:textId="34B76022" w:rsidR="00F2190E" w:rsidRPr="00F4682F" w:rsidRDefault="00F2190E" w:rsidP="001B1E68">
            <w:pPr>
              <w:rPr>
                <w:sz w:val="20"/>
                <w:szCs w:val="20"/>
              </w:rPr>
            </w:pPr>
            <w:r w:rsidRPr="00F2190E">
              <w:rPr>
                <w:b/>
                <w:bCs/>
                <w:sz w:val="20"/>
                <w:szCs w:val="20"/>
              </w:rPr>
              <w:t>Equations 14.3-5</w:t>
            </w:r>
            <w:r w:rsidRPr="00F2190E">
              <w:rPr>
                <w:sz w:val="20"/>
                <w:szCs w:val="20"/>
              </w:rPr>
              <w:t xml:space="preserve"> - Without the normalization by the number of </w:t>
            </w:r>
            <w:r w:rsidR="0040068B">
              <w:rPr>
                <w:sz w:val="20"/>
                <w:szCs w:val="20"/>
              </w:rPr>
              <w:t>data points</w:t>
            </w:r>
            <w:r w:rsidRPr="00F2190E">
              <w:rPr>
                <w:sz w:val="20"/>
                <w:szCs w:val="20"/>
              </w:rPr>
              <w:t xml:space="preserve"> n, we get the precursors of variance of x: the sum of squares total (SST), </w:t>
            </w:r>
            <w:r w:rsidR="0040068B">
              <w:rPr>
                <w:sz w:val="20"/>
                <w:szCs w:val="20"/>
              </w:rPr>
              <w:t xml:space="preserve">the </w:t>
            </w:r>
            <w:r w:rsidRPr="00F2190E">
              <w:rPr>
                <w:sz w:val="20"/>
                <w:szCs w:val="20"/>
              </w:rPr>
              <w:t>sum of squares regression (SSR)</w:t>
            </w:r>
            <w:r w:rsidR="0040068B">
              <w:rPr>
                <w:sz w:val="20"/>
                <w:szCs w:val="20"/>
              </w:rPr>
              <w:t>,</w:t>
            </w:r>
            <w:r w:rsidRPr="00F2190E">
              <w:rPr>
                <w:sz w:val="20"/>
                <w:szCs w:val="20"/>
              </w:rPr>
              <w:t xml:space="preserve"> and </w:t>
            </w:r>
            <w:r w:rsidR="00F03B28">
              <w:rPr>
                <w:sz w:val="20"/>
                <w:szCs w:val="20"/>
              </w:rPr>
              <w:t xml:space="preserve">the </w:t>
            </w:r>
            <w:r w:rsidRPr="00F2190E">
              <w:rPr>
                <w:sz w:val="20"/>
                <w:szCs w:val="20"/>
              </w:rPr>
              <w:t>sum of squares error (SSE).</w:t>
            </w:r>
          </w:p>
        </w:tc>
        <w:tc>
          <w:tcPr>
            <w:tcW w:w="720" w:type="dxa"/>
          </w:tcPr>
          <w:p w14:paraId="2D8B0EC3" w14:textId="77777777" w:rsidR="00F2190E" w:rsidRDefault="00F2190E" w:rsidP="001B1E68"/>
        </w:tc>
      </w:tr>
    </w:tbl>
    <w:p w14:paraId="0DBF6B69" w14:textId="77777777" w:rsidR="00F2190E" w:rsidRDefault="00F2190E" w:rsidP="00AD25DC"/>
    <w:p w14:paraId="2B9A4D12" w14:textId="6F0F305A" w:rsidR="00AD25DC" w:rsidRDefault="00AD25DC" w:rsidP="001A6787">
      <w:pPr>
        <w:pStyle w:val="Heading3"/>
      </w:pPr>
      <w:r>
        <w:t>14.13 - Coefficient of determination or r-squared</w:t>
      </w:r>
    </w:p>
    <w:p w14:paraId="598B79C3" w14:textId="26A0F76A" w:rsidR="00AD25DC" w:rsidRPr="00BA25F0" w:rsidRDefault="00F03B28" w:rsidP="00AD25DC">
      <w:r>
        <w:t>The</w:t>
      </w:r>
      <w:r w:rsidR="00AD25DC">
        <w:t xml:space="preserve"> ratio between the SST and SSR into SST provides us with </w:t>
      </w:r>
      <w:r>
        <w:t xml:space="preserve">a </w:t>
      </w:r>
      <w:r w:rsidR="00AD25DC">
        <w:t xml:space="preserve">metric for our </w:t>
      </w:r>
      <w:r>
        <w:t>model's</w:t>
      </w:r>
      <w:r w:rsidR="00AD25DC">
        <w:t xml:space="preserve"> performance: the r-squared, also known as the coefficient of determination, see Equation 14.6.</w:t>
      </w:r>
      <w:r w:rsidR="00F846FC">
        <w:t xml:space="preserve"> </w:t>
      </w:r>
      <w:r w:rsidR="003F2C7B">
        <w:t>Figure 14.11 shows</w:t>
      </w:r>
      <w:r w:rsidR="00BA25F0">
        <w:t xml:space="preserve"> a</w:t>
      </w:r>
      <w:r w:rsidR="00AD25DC">
        <w:t xml:space="preserve"> visualization of these different metrics using synthetic data</w:t>
      </w:r>
      <w:r w:rsidR="00BA25F0">
        <w:t xml:space="preserve"> to </w:t>
      </w:r>
      <w:r w:rsidR="00BA25F0" w:rsidRPr="00BA25F0">
        <w:t xml:space="preserve">prime you on how to interpret the </w:t>
      </w:r>
      <w:r w:rsidR="0085710D">
        <w:t>various</w:t>
      </w:r>
      <w:r w:rsidR="00BA25F0" w:rsidRPr="00BA25F0">
        <w:t xml:space="preserve"> metrics we have discussed so far</w:t>
      </w:r>
      <w:r w:rsidR="00AD25DC" w:rsidRPr="00BA25F0">
        <w:t>.</w:t>
      </w:r>
      <w:r w:rsidR="00F846FC">
        <w:t xml:space="preserve"> </w:t>
      </w:r>
      <w:r>
        <w:t>Don't</w:t>
      </w:r>
      <w:r w:rsidR="00BA25F0" w:rsidRPr="00BA25F0">
        <w:t xml:space="preserve"> worry too much about fully grasping every single detail</w:t>
      </w:r>
      <w:r>
        <w:t>. I</w:t>
      </w:r>
      <w:r w:rsidR="00AD25DC" w:rsidRPr="00BA25F0">
        <w:t>n the next section</w:t>
      </w:r>
      <w:r>
        <w:t xml:space="preserve">, </w:t>
      </w:r>
      <w:r w:rsidR="00AD25DC" w:rsidRPr="00BA25F0">
        <w:t xml:space="preserve">we will examine how </w:t>
      </w:r>
      <w:r w:rsidR="00BA25F0" w:rsidRPr="00BA25F0">
        <w:t>these metrics</w:t>
      </w:r>
      <w:r w:rsidR="00AD25DC" w:rsidRPr="00BA25F0">
        <w:t xml:space="preserve"> </w:t>
      </w:r>
      <w:r w:rsidR="00AD25DC" w:rsidRPr="00BA25F0">
        <w:lastRenderedPageBreak/>
        <w:t>change</w:t>
      </w:r>
      <w:r w:rsidR="00BA25F0" w:rsidRPr="00BA25F0">
        <w:t xml:space="preserve"> </w:t>
      </w:r>
      <w:r w:rsidR="00AD25DC" w:rsidRPr="00BA25F0">
        <w:t>using real data and how they yield an informative r-squared metric, which measures the so-called goodness-of-fit of our model to the data.</w:t>
      </w:r>
      <w:r w:rsidR="00F846FC">
        <w:t xml:space="preserve"> </w:t>
      </w:r>
      <w:r w:rsidR="00AD25DC" w:rsidRPr="00BA25F0">
        <w:t xml:space="preserve">This manual tweaking of parameters allows us to present ideal and less-than-ideal models and compare the difference in performance, as measured by the r-squared. </w:t>
      </w:r>
    </w:p>
    <w:p w14:paraId="56CB1FF4" w14:textId="76247217" w:rsidR="00AD25DC" w:rsidRDefault="00AD25DC" w:rsidP="00AD25D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0"/>
        <w:gridCol w:w="7896"/>
        <w:gridCol w:w="744"/>
      </w:tblGrid>
      <w:tr w:rsidR="00F2190E" w14:paraId="4515BCE9" w14:textId="77777777" w:rsidTr="00966719">
        <w:tc>
          <w:tcPr>
            <w:tcW w:w="720" w:type="dxa"/>
          </w:tcPr>
          <w:p w14:paraId="16EC6D03" w14:textId="77777777" w:rsidR="00F2190E" w:rsidRDefault="00F2190E" w:rsidP="001B1E68"/>
        </w:tc>
        <w:tc>
          <w:tcPr>
            <w:tcW w:w="0" w:type="auto"/>
          </w:tcPr>
          <w:p w14:paraId="071EBE12" w14:textId="2A280B2E" w:rsidR="00F2190E" w:rsidRDefault="00966719" w:rsidP="001B1E68">
            <w:pPr>
              <w:jc w:val="center"/>
            </w:pPr>
            <w:r>
              <w:rPr>
                <w:noProof/>
              </w:rPr>
              <w:drawing>
                <wp:inline distT="0" distB="0" distL="0" distR="0" wp14:anchorId="5D41A6C5" wp14:editId="70FC4E3D">
                  <wp:extent cx="914400" cy="431642"/>
                  <wp:effectExtent l="0" t="0" r="0"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5">
                            <a:extLst>
                              <a:ext uri="{28A0092B-C50C-407E-A947-70E740481C1C}">
                                <a14:useLocalDpi xmlns:a14="http://schemas.microsoft.com/office/drawing/2010/main" val="0"/>
                              </a:ext>
                            </a:extLst>
                          </a:blip>
                          <a:stretch>
                            <a:fillRect/>
                          </a:stretch>
                        </pic:blipFill>
                        <pic:spPr>
                          <a:xfrm>
                            <a:off x="0" y="0"/>
                            <a:ext cx="914400" cy="431642"/>
                          </a:xfrm>
                          <a:prstGeom prst="rect">
                            <a:avLst/>
                          </a:prstGeom>
                        </pic:spPr>
                      </pic:pic>
                    </a:graphicData>
                  </a:graphic>
                </wp:inline>
              </w:drawing>
            </w:r>
          </w:p>
        </w:tc>
        <w:tc>
          <w:tcPr>
            <w:tcW w:w="744" w:type="dxa"/>
            <w:vAlign w:val="center"/>
          </w:tcPr>
          <w:p w14:paraId="416E71EF" w14:textId="3B2370D5" w:rsidR="00F2190E" w:rsidRPr="00F2190E" w:rsidRDefault="00F2190E" w:rsidP="00966719">
            <w:pPr>
              <w:jc w:val="right"/>
              <w:rPr>
                <w:sz w:val="20"/>
                <w:szCs w:val="20"/>
              </w:rPr>
            </w:pPr>
            <w:r w:rsidRPr="00F2190E">
              <w:rPr>
                <w:sz w:val="20"/>
                <w:szCs w:val="20"/>
              </w:rPr>
              <w:t>(14.</w:t>
            </w:r>
            <w:r>
              <w:rPr>
                <w:sz w:val="20"/>
                <w:szCs w:val="20"/>
              </w:rPr>
              <w:t>6</w:t>
            </w:r>
            <w:r w:rsidRPr="00F2190E">
              <w:rPr>
                <w:sz w:val="20"/>
                <w:szCs w:val="20"/>
              </w:rPr>
              <w:t>)</w:t>
            </w:r>
          </w:p>
        </w:tc>
      </w:tr>
      <w:tr w:rsidR="00F2190E" w14:paraId="5D9FB5D8" w14:textId="77777777" w:rsidTr="00966719">
        <w:tc>
          <w:tcPr>
            <w:tcW w:w="720" w:type="dxa"/>
          </w:tcPr>
          <w:p w14:paraId="15C29C1F" w14:textId="77777777" w:rsidR="00F2190E" w:rsidRDefault="00F2190E" w:rsidP="001B1E68"/>
        </w:tc>
        <w:tc>
          <w:tcPr>
            <w:tcW w:w="0" w:type="auto"/>
          </w:tcPr>
          <w:p w14:paraId="65EC00EA" w14:textId="47450096" w:rsidR="00F2190E" w:rsidRPr="00BA25F0" w:rsidRDefault="00F2190E" w:rsidP="001B1E68">
            <w:pPr>
              <w:rPr>
                <w:sz w:val="20"/>
                <w:szCs w:val="20"/>
              </w:rPr>
            </w:pPr>
            <w:r w:rsidRPr="00BA25F0">
              <w:rPr>
                <w:b/>
                <w:bCs/>
                <w:sz w:val="20"/>
                <w:szCs w:val="20"/>
              </w:rPr>
              <w:t>Equation 14.6</w:t>
            </w:r>
            <w:r w:rsidRPr="00BA25F0">
              <w:rPr>
                <w:sz w:val="20"/>
                <w:szCs w:val="20"/>
              </w:rPr>
              <w:t xml:space="preserve"> - The r-squared value measuring the goodness-of-fit or our model is given by the ratio between the sum of squares regression and the sum of squares total. </w:t>
            </w:r>
          </w:p>
        </w:tc>
        <w:tc>
          <w:tcPr>
            <w:tcW w:w="744" w:type="dxa"/>
          </w:tcPr>
          <w:p w14:paraId="29EBFEEE" w14:textId="77777777" w:rsidR="00F2190E" w:rsidRDefault="00F2190E" w:rsidP="001B1E68"/>
        </w:tc>
      </w:tr>
    </w:tbl>
    <w:p w14:paraId="6F39C94C" w14:textId="77777777" w:rsidR="00F2190E" w:rsidRDefault="00F2190E" w:rsidP="00AD25DC"/>
    <w:p w14:paraId="4F23D3B2" w14:textId="61A2FC6D" w:rsidR="00AD25DC" w:rsidRDefault="00AD25DC" w:rsidP="001A6787">
      <w:pPr>
        <w:pStyle w:val="Heading3"/>
      </w:pPr>
      <w:r>
        <w:t>14.14 - A quick word of caution</w:t>
      </w:r>
    </w:p>
    <w:p w14:paraId="2C7D294F" w14:textId="29D0DE4B" w:rsidR="00AD25DC" w:rsidRDefault="00AD25DC" w:rsidP="00AD25DC">
      <w:r>
        <w:t xml:space="preserve">As a quick aside, please </w:t>
      </w:r>
      <w:r w:rsidR="00F03B28">
        <w:t>remember</w:t>
      </w:r>
      <w:r>
        <w:t xml:space="preserve"> that other people refer to these different quantities differently at times.</w:t>
      </w:r>
      <w:r w:rsidR="00F846FC">
        <w:t xml:space="preserve"> </w:t>
      </w:r>
      <w:r>
        <w:t xml:space="preserve">Somebody might take the </w:t>
      </w:r>
      <w:r w:rsidR="00F03B28">
        <w:t>abbreviation</w:t>
      </w:r>
      <w:r>
        <w:t xml:space="preserve"> SSE to mean </w:t>
      </w:r>
      <w:r w:rsidR="00F03B28">
        <w:t xml:space="preserve">the </w:t>
      </w:r>
      <w:r>
        <w:t>Sum of Squares Explained</w:t>
      </w:r>
      <w:r w:rsidR="00F03B28">
        <w:t>, and others</w:t>
      </w:r>
      <w:r>
        <w:t xml:space="preserve"> will assume it is </w:t>
      </w:r>
      <w:r w:rsidR="00F03B28">
        <w:t>the S</w:t>
      </w:r>
      <w:r>
        <w:t xml:space="preserve">um of </w:t>
      </w:r>
      <w:r w:rsidR="00F03B28">
        <w:t>S</w:t>
      </w:r>
      <w:r>
        <w:t xml:space="preserve">quares </w:t>
      </w:r>
      <w:r w:rsidR="00F03B28">
        <w:t>E</w:t>
      </w:r>
      <w:r>
        <w:t>rror.</w:t>
      </w:r>
      <w:r w:rsidR="00F846FC">
        <w:t xml:space="preserve"> </w:t>
      </w:r>
      <w:r>
        <w:t xml:space="preserve">Similarly, some consider SSR to mean </w:t>
      </w:r>
      <w:r w:rsidR="00F03B28">
        <w:t xml:space="preserve">the </w:t>
      </w:r>
      <w:r>
        <w:t xml:space="preserve">Sum of Squares Residual, whereas others define it as </w:t>
      </w:r>
      <w:r w:rsidR="00F03B28">
        <w:t xml:space="preserve">the </w:t>
      </w:r>
      <w:r>
        <w:t>Sum of Squares Regression.</w:t>
      </w:r>
      <w:r w:rsidR="00F846FC">
        <w:t xml:space="preserve"> </w:t>
      </w:r>
      <w:r>
        <w:t xml:space="preserve">Very confusing indeed, as it comes out the exact opposite, depending on what you think the abbreviations stand for! </w:t>
      </w:r>
    </w:p>
    <w:p w14:paraId="58A686C7" w14:textId="46925890" w:rsidR="00AD25DC" w:rsidRDefault="00AD25DC" w:rsidP="00AD25D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
        <w:gridCol w:w="8696"/>
        <w:gridCol w:w="335"/>
      </w:tblGrid>
      <w:tr w:rsidR="00BA25F0" w14:paraId="394FB7F0" w14:textId="77777777" w:rsidTr="00F95E2D">
        <w:tc>
          <w:tcPr>
            <w:tcW w:w="720" w:type="dxa"/>
          </w:tcPr>
          <w:p w14:paraId="31965782" w14:textId="77777777" w:rsidR="00BA25F0" w:rsidRDefault="00BA25F0" w:rsidP="001B1E68"/>
        </w:tc>
        <w:tc>
          <w:tcPr>
            <w:tcW w:w="0" w:type="auto"/>
          </w:tcPr>
          <w:p w14:paraId="6FA7F528" w14:textId="55E224BA" w:rsidR="00BA25F0" w:rsidRDefault="00BA25F0" w:rsidP="001B1E68">
            <w:pPr>
              <w:jc w:val="center"/>
            </w:pPr>
            <w:r>
              <w:rPr>
                <w:noProof/>
              </w:rPr>
              <w:drawing>
                <wp:inline distT="0" distB="0" distL="0" distR="0" wp14:anchorId="5FA7E23D" wp14:editId="504EF3A5">
                  <wp:extent cx="5380893" cy="1840196"/>
                  <wp:effectExtent l="0" t="0" r="4445" b="1905"/>
                  <wp:docPr id="22" name="Picture 22"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hart, scatter char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5969" cy="1845352"/>
                          </a:xfrm>
                          <a:prstGeom prst="rect">
                            <a:avLst/>
                          </a:prstGeom>
                        </pic:spPr>
                      </pic:pic>
                    </a:graphicData>
                  </a:graphic>
                </wp:inline>
              </w:drawing>
            </w:r>
          </w:p>
        </w:tc>
        <w:tc>
          <w:tcPr>
            <w:tcW w:w="744" w:type="dxa"/>
          </w:tcPr>
          <w:p w14:paraId="1975050E" w14:textId="7D94192B" w:rsidR="00BA25F0" w:rsidRPr="00F2190E" w:rsidRDefault="00BA25F0" w:rsidP="001B1E68">
            <w:pPr>
              <w:rPr>
                <w:sz w:val="20"/>
                <w:szCs w:val="20"/>
              </w:rPr>
            </w:pPr>
          </w:p>
        </w:tc>
      </w:tr>
      <w:tr w:rsidR="00BA25F0" w14:paraId="09E10327" w14:textId="77777777" w:rsidTr="00F95E2D">
        <w:tc>
          <w:tcPr>
            <w:tcW w:w="720" w:type="dxa"/>
          </w:tcPr>
          <w:p w14:paraId="42504176" w14:textId="77777777" w:rsidR="00BA25F0" w:rsidRDefault="00BA25F0" w:rsidP="001B1E68"/>
        </w:tc>
        <w:tc>
          <w:tcPr>
            <w:tcW w:w="0" w:type="auto"/>
          </w:tcPr>
          <w:p w14:paraId="75B9D740" w14:textId="77777777" w:rsidR="00F95E2D" w:rsidRDefault="00F95E2D" w:rsidP="001B1E68">
            <w:pPr>
              <w:rPr>
                <w:b/>
                <w:bCs/>
                <w:sz w:val="20"/>
                <w:szCs w:val="20"/>
              </w:rPr>
            </w:pPr>
          </w:p>
          <w:p w14:paraId="1BEC2C74" w14:textId="4CECAFD3" w:rsidR="00BA25F0" w:rsidRPr="00BA25F0" w:rsidRDefault="00BA25F0" w:rsidP="001B1E68">
            <w:pPr>
              <w:rPr>
                <w:sz w:val="20"/>
                <w:szCs w:val="20"/>
              </w:rPr>
            </w:pPr>
            <w:r w:rsidRPr="00BA25F0">
              <w:rPr>
                <w:b/>
                <w:bCs/>
                <w:sz w:val="20"/>
                <w:szCs w:val="20"/>
              </w:rPr>
              <w:t>Figure 14.11</w:t>
            </w:r>
            <w:r w:rsidRPr="00BA25F0">
              <w:rPr>
                <w:sz w:val="20"/>
                <w:szCs w:val="20"/>
              </w:rPr>
              <w:t xml:space="preserve"> - R-squared values for two </w:t>
            </w:r>
            <w:r w:rsidR="00F03B28">
              <w:rPr>
                <w:sz w:val="20"/>
                <w:szCs w:val="20"/>
              </w:rPr>
              <w:t>models</w:t>
            </w:r>
            <w:r w:rsidRPr="00BA25F0">
              <w:rPr>
                <w:sz w:val="20"/>
                <w:szCs w:val="20"/>
              </w:rPr>
              <w:t>.</w:t>
            </w:r>
            <w:r w:rsidR="00F846FC">
              <w:rPr>
                <w:sz w:val="20"/>
                <w:szCs w:val="20"/>
              </w:rPr>
              <w:t xml:space="preserve"> </w:t>
            </w:r>
            <w:r w:rsidRPr="00BA25F0">
              <w:rPr>
                <w:sz w:val="20"/>
                <w:szCs w:val="20"/>
              </w:rPr>
              <w:t>(A) Parameters that produce a bad fitting model explain relatively little variance in the output x (SSR), leaving most of it unexplained (SSE), resulting in a low r-squared value.</w:t>
            </w:r>
            <w:r w:rsidR="00F846FC">
              <w:rPr>
                <w:sz w:val="20"/>
                <w:szCs w:val="20"/>
              </w:rPr>
              <w:t xml:space="preserve"> </w:t>
            </w:r>
            <w:r w:rsidRPr="00BA25F0">
              <w:rPr>
                <w:sz w:val="20"/>
                <w:szCs w:val="20"/>
              </w:rPr>
              <w:t>(B) In contrast, parameters that yield a good fitting model will have most of the variance explained and little left unexplained, resulting in a high r-squared value.</w:t>
            </w:r>
          </w:p>
        </w:tc>
        <w:tc>
          <w:tcPr>
            <w:tcW w:w="744" w:type="dxa"/>
          </w:tcPr>
          <w:p w14:paraId="4E7216C9" w14:textId="77777777" w:rsidR="00BA25F0" w:rsidRDefault="00BA25F0" w:rsidP="001B1E68"/>
        </w:tc>
      </w:tr>
    </w:tbl>
    <w:p w14:paraId="775C78E1" w14:textId="77777777" w:rsidR="00BA25F0" w:rsidRDefault="00BA25F0" w:rsidP="00AD25DC"/>
    <w:p w14:paraId="58E05832" w14:textId="77777777" w:rsidR="00F95E2D" w:rsidRDefault="00F95E2D">
      <w:pPr>
        <w:spacing w:line="240" w:lineRule="auto"/>
        <w:rPr>
          <w:rFonts w:eastAsiaTheme="minorHAnsi" w:cstheme="minorBidi"/>
          <w:b/>
          <w:bCs/>
          <w:sz w:val="28"/>
          <w:szCs w:val="28"/>
        </w:rPr>
      </w:pPr>
      <w:r>
        <w:br w:type="page"/>
      </w:r>
    </w:p>
    <w:sectPr w:rsidR="00F95E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EFF1C" w14:textId="77777777" w:rsidR="002A6A28" w:rsidRDefault="002A6A28" w:rsidP="007522EA">
      <w:r>
        <w:separator/>
      </w:r>
    </w:p>
  </w:endnote>
  <w:endnote w:type="continuationSeparator" w:id="0">
    <w:p w14:paraId="25AFA61A" w14:textId="77777777" w:rsidR="002A6A28" w:rsidRDefault="002A6A28" w:rsidP="00752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Navigo">
    <w:panose1 w:val="02070503070706040303"/>
    <w:charset w:val="4D"/>
    <w:family w:val="roman"/>
    <w:pitch w:val="variable"/>
    <w:sig w:usb0="A000020F" w:usb1="00000000" w:usb2="00000000" w:usb3="00000000" w:csb0="00000097"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7AB2B" w14:textId="77777777" w:rsidR="002A6A28" w:rsidRDefault="002A6A28" w:rsidP="007522EA">
      <w:r>
        <w:separator/>
      </w:r>
    </w:p>
  </w:footnote>
  <w:footnote w:type="continuationSeparator" w:id="0">
    <w:p w14:paraId="5F8E98D7" w14:textId="77777777" w:rsidR="002A6A28" w:rsidRDefault="002A6A28" w:rsidP="007522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9F5F83"/>
    <w:multiLevelType w:val="hybridMultilevel"/>
    <w:tmpl w:val="47249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C3C4A22"/>
    <w:multiLevelType w:val="hybridMultilevel"/>
    <w:tmpl w:val="9B164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6B240F"/>
    <w:multiLevelType w:val="hybridMultilevel"/>
    <w:tmpl w:val="1CC4F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F261819"/>
    <w:multiLevelType w:val="hybridMultilevel"/>
    <w:tmpl w:val="52D62D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9719031">
    <w:abstractNumId w:val="0"/>
  </w:num>
  <w:num w:numId="2" w16cid:durableId="1243687371">
    <w:abstractNumId w:val="3"/>
  </w:num>
  <w:num w:numId="3" w16cid:durableId="1746342041">
    <w:abstractNumId w:val="2"/>
  </w:num>
  <w:num w:numId="4" w16cid:durableId="7656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A47"/>
    <w:rsid w:val="000204A1"/>
    <w:rsid w:val="0002682C"/>
    <w:rsid w:val="0003487A"/>
    <w:rsid w:val="00034D5C"/>
    <w:rsid w:val="00051955"/>
    <w:rsid w:val="00051F6A"/>
    <w:rsid w:val="0006320D"/>
    <w:rsid w:val="00065EF1"/>
    <w:rsid w:val="00076330"/>
    <w:rsid w:val="00095A40"/>
    <w:rsid w:val="0009620B"/>
    <w:rsid w:val="000975FE"/>
    <w:rsid w:val="000A3C2D"/>
    <w:rsid w:val="000A4660"/>
    <w:rsid w:val="000B7250"/>
    <w:rsid w:val="000C7E3F"/>
    <w:rsid w:val="000E4F13"/>
    <w:rsid w:val="000F265A"/>
    <w:rsid w:val="00112A23"/>
    <w:rsid w:val="0012242D"/>
    <w:rsid w:val="001246C8"/>
    <w:rsid w:val="00124B00"/>
    <w:rsid w:val="00125823"/>
    <w:rsid w:val="001404EE"/>
    <w:rsid w:val="001710F9"/>
    <w:rsid w:val="001801A1"/>
    <w:rsid w:val="00182807"/>
    <w:rsid w:val="001834F3"/>
    <w:rsid w:val="00191EF6"/>
    <w:rsid w:val="00193406"/>
    <w:rsid w:val="001A6787"/>
    <w:rsid w:val="001D1914"/>
    <w:rsid w:val="001D3201"/>
    <w:rsid w:val="001D33DA"/>
    <w:rsid w:val="001F236F"/>
    <w:rsid w:val="001F5C48"/>
    <w:rsid w:val="00217294"/>
    <w:rsid w:val="00237C29"/>
    <w:rsid w:val="00244858"/>
    <w:rsid w:val="002465AC"/>
    <w:rsid w:val="002516E8"/>
    <w:rsid w:val="0025219D"/>
    <w:rsid w:val="00254038"/>
    <w:rsid w:val="002558B2"/>
    <w:rsid w:val="00263287"/>
    <w:rsid w:val="00271B0B"/>
    <w:rsid w:val="002826F9"/>
    <w:rsid w:val="00290391"/>
    <w:rsid w:val="002A2DF8"/>
    <w:rsid w:val="002A6A28"/>
    <w:rsid w:val="002C4876"/>
    <w:rsid w:val="002D125C"/>
    <w:rsid w:val="002E4F10"/>
    <w:rsid w:val="002F33FF"/>
    <w:rsid w:val="002F75F8"/>
    <w:rsid w:val="00310469"/>
    <w:rsid w:val="0031290C"/>
    <w:rsid w:val="00313598"/>
    <w:rsid w:val="00316BBF"/>
    <w:rsid w:val="00322934"/>
    <w:rsid w:val="00325BE0"/>
    <w:rsid w:val="003365F2"/>
    <w:rsid w:val="003431EF"/>
    <w:rsid w:val="00366DA8"/>
    <w:rsid w:val="00367949"/>
    <w:rsid w:val="00374ACA"/>
    <w:rsid w:val="00394F91"/>
    <w:rsid w:val="00395305"/>
    <w:rsid w:val="00396129"/>
    <w:rsid w:val="003963F8"/>
    <w:rsid w:val="00397967"/>
    <w:rsid w:val="003C0351"/>
    <w:rsid w:val="003E1AEF"/>
    <w:rsid w:val="003F128D"/>
    <w:rsid w:val="003F2C7B"/>
    <w:rsid w:val="003F6E64"/>
    <w:rsid w:val="0040068B"/>
    <w:rsid w:val="00401D33"/>
    <w:rsid w:val="00403106"/>
    <w:rsid w:val="004158D7"/>
    <w:rsid w:val="00415E3C"/>
    <w:rsid w:val="00420F99"/>
    <w:rsid w:val="00436CBF"/>
    <w:rsid w:val="004609E6"/>
    <w:rsid w:val="0046189F"/>
    <w:rsid w:val="004638F5"/>
    <w:rsid w:val="00465B29"/>
    <w:rsid w:val="0049269B"/>
    <w:rsid w:val="004A1F37"/>
    <w:rsid w:val="004A2516"/>
    <w:rsid w:val="004B354D"/>
    <w:rsid w:val="004B5B50"/>
    <w:rsid w:val="004C5FE5"/>
    <w:rsid w:val="004C62D5"/>
    <w:rsid w:val="004E08FB"/>
    <w:rsid w:val="004F7087"/>
    <w:rsid w:val="0050297A"/>
    <w:rsid w:val="00503888"/>
    <w:rsid w:val="005200AD"/>
    <w:rsid w:val="00552A4C"/>
    <w:rsid w:val="00554CBE"/>
    <w:rsid w:val="005618D3"/>
    <w:rsid w:val="00573581"/>
    <w:rsid w:val="005746AD"/>
    <w:rsid w:val="00576B87"/>
    <w:rsid w:val="00585B5F"/>
    <w:rsid w:val="00593CC8"/>
    <w:rsid w:val="005B17F1"/>
    <w:rsid w:val="005C3BDE"/>
    <w:rsid w:val="005C41E2"/>
    <w:rsid w:val="005C536D"/>
    <w:rsid w:val="005E03BB"/>
    <w:rsid w:val="005E1ECD"/>
    <w:rsid w:val="005E55E9"/>
    <w:rsid w:val="005E6128"/>
    <w:rsid w:val="005E7EAC"/>
    <w:rsid w:val="005F180F"/>
    <w:rsid w:val="006022B1"/>
    <w:rsid w:val="00604606"/>
    <w:rsid w:val="00616308"/>
    <w:rsid w:val="00625721"/>
    <w:rsid w:val="0062783C"/>
    <w:rsid w:val="00637F76"/>
    <w:rsid w:val="0064283E"/>
    <w:rsid w:val="00644918"/>
    <w:rsid w:val="006514BC"/>
    <w:rsid w:val="00652A6C"/>
    <w:rsid w:val="00653A2D"/>
    <w:rsid w:val="00670C6D"/>
    <w:rsid w:val="00680004"/>
    <w:rsid w:val="00681AD2"/>
    <w:rsid w:val="00681F85"/>
    <w:rsid w:val="0068378A"/>
    <w:rsid w:val="00685BAB"/>
    <w:rsid w:val="00687620"/>
    <w:rsid w:val="00694A48"/>
    <w:rsid w:val="00696716"/>
    <w:rsid w:val="006E5A63"/>
    <w:rsid w:val="006F425A"/>
    <w:rsid w:val="007007D9"/>
    <w:rsid w:val="0071123F"/>
    <w:rsid w:val="00712DDB"/>
    <w:rsid w:val="007137D0"/>
    <w:rsid w:val="00723CF0"/>
    <w:rsid w:val="00731475"/>
    <w:rsid w:val="007522EA"/>
    <w:rsid w:val="00773A2C"/>
    <w:rsid w:val="00776416"/>
    <w:rsid w:val="007838F7"/>
    <w:rsid w:val="00783BE6"/>
    <w:rsid w:val="00785D7C"/>
    <w:rsid w:val="0079360A"/>
    <w:rsid w:val="00793E1E"/>
    <w:rsid w:val="0079484E"/>
    <w:rsid w:val="007A6379"/>
    <w:rsid w:val="007B5E31"/>
    <w:rsid w:val="007B5F35"/>
    <w:rsid w:val="007C2064"/>
    <w:rsid w:val="007C4B44"/>
    <w:rsid w:val="007D4A0F"/>
    <w:rsid w:val="007D7A2A"/>
    <w:rsid w:val="007E2991"/>
    <w:rsid w:val="007E359B"/>
    <w:rsid w:val="007E5B1F"/>
    <w:rsid w:val="007F3B8A"/>
    <w:rsid w:val="007F7663"/>
    <w:rsid w:val="00801DB8"/>
    <w:rsid w:val="00802F2B"/>
    <w:rsid w:val="00803CC1"/>
    <w:rsid w:val="0081403E"/>
    <w:rsid w:val="00816BC8"/>
    <w:rsid w:val="0082140A"/>
    <w:rsid w:val="0082150E"/>
    <w:rsid w:val="00822381"/>
    <w:rsid w:val="00830839"/>
    <w:rsid w:val="00832227"/>
    <w:rsid w:val="008355E4"/>
    <w:rsid w:val="008416AB"/>
    <w:rsid w:val="0084235B"/>
    <w:rsid w:val="00846635"/>
    <w:rsid w:val="0085710D"/>
    <w:rsid w:val="008628E5"/>
    <w:rsid w:val="00864C88"/>
    <w:rsid w:val="00865297"/>
    <w:rsid w:val="008767FE"/>
    <w:rsid w:val="00882553"/>
    <w:rsid w:val="00885996"/>
    <w:rsid w:val="00894BEC"/>
    <w:rsid w:val="008A2638"/>
    <w:rsid w:val="008B255C"/>
    <w:rsid w:val="008B6D5F"/>
    <w:rsid w:val="008C2BB5"/>
    <w:rsid w:val="008C696A"/>
    <w:rsid w:val="008C79BC"/>
    <w:rsid w:val="008D6AEE"/>
    <w:rsid w:val="008F2CCD"/>
    <w:rsid w:val="00921931"/>
    <w:rsid w:val="009346B6"/>
    <w:rsid w:val="009407D6"/>
    <w:rsid w:val="00940E97"/>
    <w:rsid w:val="00947731"/>
    <w:rsid w:val="00950E0B"/>
    <w:rsid w:val="009524EE"/>
    <w:rsid w:val="0095386F"/>
    <w:rsid w:val="00956F4D"/>
    <w:rsid w:val="009631EF"/>
    <w:rsid w:val="00966719"/>
    <w:rsid w:val="00966B9E"/>
    <w:rsid w:val="00973588"/>
    <w:rsid w:val="009747E0"/>
    <w:rsid w:val="00974D02"/>
    <w:rsid w:val="00976818"/>
    <w:rsid w:val="00977AA5"/>
    <w:rsid w:val="00983383"/>
    <w:rsid w:val="00992E45"/>
    <w:rsid w:val="009A208F"/>
    <w:rsid w:val="009B1633"/>
    <w:rsid w:val="009C554F"/>
    <w:rsid w:val="009D10EC"/>
    <w:rsid w:val="009D7513"/>
    <w:rsid w:val="009E2C75"/>
    <w:rsid w:val="009E3FB3"/>
    <w:rsid w:val="009F5676"/>
    <w:rsid w:val="00A051B9"/>
    <w:rsid w:val="00A25990"/>
    <w:rsid w:val="00A30F72"/>
    <w:rsid w:val="00A317ED"/>
    <w:rsid w:val="00A344DA"/>
    <w:rsid w:val="00A35FED"/>
    <w:rsid w:val="00A5125C"/>
    <w:rsid w:val="00A6147C"/>
    <w:rsid w:val="00A76CF8"/>
    <w:rsid w:val="00A81210"/>
    <w:rsid w:val="00A81576"/>
    <w:rsid w:val="00A82F2A"/>
    <w:rsid w:val="00A83E39"/>
    <w:rsid w:val="00A86E6A"/>
    <w:rsid w:val="00AA7904"/>
    <w:rsid w:val="00AB376F"/>
    <w:rsid w:val="00AB6100"/>
    <w:rsid w:val="00AC2298"/>
    <w:rsid w:val="00AD25DC"/>
    <w:rsid w:val="00AD3EF7"/>
    <w:rsid w:val="00AE0B32"/>
    <w:rsid w:val="00AE128B"/>
    <w:rsid w:val="00AE1D09"/>
    <w:rsid w:val="00B00D48"/>
    <w:rsid w:val="00B027AD"/>
    <w:rsid w:val="00B20841"/>
    <w:rsid w:val="00B24424"/>
    <w:rsid w:val="00B25D35"/>
    <w:rsid w:val="00B2732A"/>
    <w:rsid w:val="00B27F7B"/>
    <w:rsid w:val="00B30AD7"/>
    <w:rsid w:val="00B416A8"/>
    <w:rsid w:val="00B41E9D"/>
    <w:rsid w:val="00B55848"/>
    <w:rsid w:val="00B60824"/>
    <w:rsid w:val="00B74142"/>
    <w:rsid w:val="00B8235B"/>
    <w:rsid w:val="00B905A3"/>
    <w:rsid w:val="00B90717"/>
    <w:rsid w:val="00B912BF"/>
    <w:rsid w:val="00B929E8"/>
    <w:rsid w:val="00B967E4"/>
    <w:rsid w:val="00BA1D21"/>
    <w:rsid w:val="00BA25F0"/>
    <w:rsid w:val="00BC35AD"/>
    <w:rsid w:val="00BC45EF"/>
    <w:rsid w:val="00BD47D5"/>
    <w:rsid w:val="00BD49EC"/>
    <w:rsid w:val="00C10D1A"/>
    <w:rsid w:val="00C1445F"/>
    <w:rsid w:val="00C160BF"/>
    <w:rsid w:val="00C2390A"/>
    <w:rsid w:val="00C3547D"/>
    <w:rsid w:val="00C40032"/>
    <w:rsid w:val="00C557BC"/>
    <w:rsid w:val="00C90628"/>
    <w:rsid w:val="00C920CB"/>
    <w:rsid w:val="00C974D3"/>
    <w:rsid w:val="00CD1FF3"/>
    <w:rsid w:val="00CE7B1B"/>
    <w:rsid w:val="00CE7E49"/>
    <w:rsid w:val="00CF0113"/>
    <w:rsid w:val="00CF3556"/>
    <w:rsid w:val="00CF3898"/>
    <w:rsid w:val="00D044F3"/>
    <w:rsid w:val="00D13241"/>
    <w:rsid w:val="00D17410"/>
    <w:rsid w:val="00D2430D"/>
    <w:rsid w:val="00D37213"/>
    <w:rsid w:val="00D541B5"/>
    <w:rsid w:val="00D6559F"/>
    <w:rsid w:val="00D74A60"/>
    <w:rsid w:val="00D8214C"/>
    <w:rsid w:val="00D94283"/>
    <w:rsid w:val="00D97DC3"/>
    <w:rsid w:val="00DA1EE1"/>
    <w:rsid w:val="00DA6303"/>
    <w:rsid w:val="00DB348F"/>
    <w:rsid w:val="00DB3ABB"/>
    <w:rsid w:val="00DC6FE0"/>
    <w:rsid w:val="00DD541E"/>
    <w:rsid w:val="00DE0DBD"/>
    <w:rsid w:val="00DE47AE"/>
    <w:rsid w:val="00E26702"/>
    <w:rsid w:val="00E304C2"/>
    <w:rsid w:val="00E33A47"/>
    <w:rsid w:val="00E622CC"/>
    <w:rsid w:val="00E67D9D"/>
    <w:rsid w:val="00E8351C"/>
    <w:rsid w:val="00EA2502"/>
    <w:rsid w:val="00EA2F8F"/>
    <w:rsid w:val="00EB36CF"/>
    <w:rsid w:val="00EC1F79"/>
    <w:rsid w:val="00EC30BE"/>
    <w:rsid w:val="00ED5485"/>
    <w:rsid w:val="00EE4BC8"/>
    <w:rsid w:val="00EF5D38"/>
    <w:rsid w:val="00F004B2"/>
    <w:rsid w:val="00F03B28"/>
    <w:rsid w:val="00F218CD"/>
    <w:rsid w:val="00F2190E"/>
    <w:rsid w:val="00F4682F"/>
    <w:rsid w:val="00F47DA6"/>
    <w:rsid w:val="00F544E9"/>
    <w:rsid w:val="00F64566"/>
    <w:rsid w:val="00F73525"/>
    <w:rsid w:val="00F83995"/>
    <w:rsid w:val="00F846FC"/>
    <w:rsid w:val="00F912CC"/>
    <w:rsid w:val="00F9308F"/>
    <w:rsid w:val="00F95E2D"/>
    <w:rsid w:val="00FA4718"/>
    <w:rsid w:val="00FA7C48"/>
    <w:rsid w:val="00FB0A94"/>
    <w:rsid w:val="00FB1957"/>
    <w:rsid w:val="00FB3607"/>
    <w:rsid w:val="00FB7AD8"/>
    <w:rsid w:val="00FC1796"/>
    <w:rsid w:val="00FC4E1F"/>
    <w:rsid w:val="00FC66B1"/>
    <w:rsid w:val="00FC7FFE"/>
    <w:rsid w:val="00FD02F9"/>
    <w:rsid w:val="00FD3535"/>
    <w:rsid w:val="00FE29AC"/>
    <w:rsid w:val="00FF2556"/>
    <w:rsid w:val="00FF6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679F"/>
  <w15:chartTrackingRefBased/>
  <w15:docId w15:val="{2BF8DBDE-1989-FB4B-91FA-17F864B33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42D"/>
    <w:pPr>
      <w:spacing w:line="360" w:lineRule="auto"/>
    </w:pPr>
    <w:rPr>
      <w:rFonts w:ascii="Navigo" w:eastAsia="Times New Roman" w:hAnsi="Navigo" w:cs="Times New Roman"/>
    </w:rPr>
  </w:style>
  <w:style w:type="paragraph" w:styleId="Heading1">
    <w:name w:val="heading 1"/>
    <w:basedOn w:val="Normal"/>
    <w:next w:val="Normal"/>
    <w:link w:val="Heading1Char"/>
    <w:uiPriority w:val="9"/>
    <w:qFormat/>
    <w:rsid w:val="0046189F"/>
    <w:pPr>
      <w:spacing w:after="40"/>
      <w:outlineLvl w:val="0"/>
    </w:pPr>
    <w:rPr>
      <w:rFonts w:eastAsiaTheme="minorHAnsi" w:cstheme="minorBidi"/>
      <w:b/>
      <w:bCs/>
      <w:sz w:val="32"/>
      <w:szCs w:val="32"/>
    </w:rPr>
  </w:style>
  <w:style w:type="paragraph" w:styleId="Heading2">
    <w:name w:val="heading 2"/>
    <w:basedOn w:val="Normal"/>
    <w:next w:val="Normal"/>
    <w:link w:val="Heading2Char"/>
    <w:uiPriority w:val="9"/>
    <w:unhideWhenUsed/>
    <w:qFormat/>
    <w:rsid w:val="0046189F"/>
    <w:pPr>
      <w:spacing w:after="320"/>
      <w:outlineLvl w:val="1"/>
    </w:pPr>
    <w:rPr>
      <w:rFonts w:eastAsiaTheme="minorHAnsi" w:cstheme="minorBidi"/>
      <w:b/>
      <w:bCs/>
      <w:sz w:val="28"/>
      <w:szCs w:val="28"/>
    </w:rPr>
  </w:style>
  <w:style w:type="paragraph" w:styleId="Heading3">
    <w:name w:val="heading 3"/>
    <w:basedOn w:val="Heading2"/>
    <w:next w:val="Normal"/>
    <w:link w:val="Heading3Char"/>
    <w:uiPriority w:val="9"/>
    <w:unhideWhenUsed/>
    <w:qFormat/>
    <w:rsid w:val="0046189F"/>
    <w:pPr>
      <w:spacing w:after="4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89F"/>
    <w:rPr>
      <w:rFonts w:ascii="Navigo" w:hAnsi="Navigo"/>
      <w:b/>
      <w:bCs/>
      <w:sz w:val="32"/>
      <w:szCs w:val="32"/>
    </w:rPr>
  </w:style>
  <w:style w:type="character" w:customStyle="1" w:styleId="Heading2Char">
    <w:name w:val="Heading 2 Char"/>
    <w:basedOn w:val="DefaultParagraphFont"/>
    <w:link w:val="Heading2"/>
    <w:uiPriority w:val="9"/>
    <w:rsid w:val="0046189F"/>
    <w:rPr>
      <w:rFonts w:ascii="Navigo" w:hAnsi="Navigo"/>
      <w:b/>
      <w:bCs/>
      <w:sz w:val="28"/>
      <w:szCs w:val="28"/>
    </w:rPr>
  </w:style>
  <w:style w:type="character" w:customStyle="1" w:styleId="Heading3Char">
    <w:name w:val="Heading 3 Char"/>
    <w:basedOn w:val="DefaultParagraphFont"/>
    <w:link w:val="Heading3"/>
    <w:uiPriority w:val="9"/>
    <w:rsid w:val="0046189F"/>
    <w:rPr>
      <w:rFonts w:ascii="Navigo" w:hAnsi="Navigo"/>
      <w:b/>
      <w:bCs/>
    </w:rPr>
  </w:style>
  <w:style w:type="paragraph" w:styleId="FootnoteText">
    <w:name w:val="footnote text"/>
    <w:basedOn w:val="Normal"/>
    <w:link w:val="FootnoteTextChar"/>
    <w:uiPriority w:val="99"/>
    <w:semiHidden/>
    <w:unhideWhenUsed/>
    <w:rsid w:val="005B17F1"/>
    <w:pPr>
      <w:outlineLvl w:val="1"/>
    </w:pPr>
    <w:rPr>
      <w:rFonts w:eastAsiaTheme="minorHAnsi" w:cstheme="minorBidi"/>
      <w:sz w:val="20"/>
      <w:szCs w:val="20"/>
    </w:rPr>
  </w:style>
  <w:style w:type="character" w:customStyle="1" w:styleId="FootnoteTextChar">
    <w:name w:val="Footnote Text Char"/>
    <w:basedOn w:val="DefaultParagraphFont"/>
    <w:link w:val="FootnoteText"/>
    <w:uiPriority w:val="99"/>
    <w:semiHidden/>
    <w:rsid w:val="005B17F1"/>
    <w:rPr>
      <w:rFonts w:ascii="Navigo" w:hAnsi="Navigo"/>
      <w:sz w:val="20"/>
      <w:szCs w:val="20"/>
    </w:rPr>
  </w:style>
  <w:style w:type="character" w:styleId="FootnoteReference">
    <w:name w:val="footnote reference"/>
    <w:basedOn w:val="DefaultParagraphFont"/>
    <w:uiPriority w:val="99"/>
    <w:semiHidden/>
    <w:unhideWhenUsed/>
    <w:rsid w:val="005B17F1"/>
    <w:rPr>
      <w:vertAlign w:val="superscript"/>
    </w:rPr>
  </w:style>
  <w:style w:type="table" w:styleId="TableGrid">
    <w:name w:val="Table Grid"/>
    <w:basedOn w:val="TableNormal"/>
    <w:uiPriority w:val="39"/>
    <w:rsid w:val="00E267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558B2"/>
    <w:pPr>
      <w:outlineLvl w:val="1"/>
    </w:pPr>
    <w:rPr>
      <w:rFonts w:ascii="Navigo" w:hAnsi="Navigo"/>
    </w:rPr>
  </w:style>
  <w:style w:type="character" w:styleId="Hyperlink">
    <w:name w:val="Hyperlink"/>
    <w:basedOn w:val="DefaultParagraphFont"/>
    <w:uiPriority w:val="99"/>
    <w:semiHidden/>
    <w:unhideWhenUsed/>
    <w:rsid w:val="001801A1"/>
    <w:rPr>
      <w:color w:val="0000FF"/>
      <w:u w:val="single"/>
    </w:rPr>
  </w:style>
  <w:style w:type="paragraph" w:styleId="ListParagraph">
    <w:name w:val="List Paragraph"/>
    <w:basedOn w:val="Normal"/>
    <w:uiPriority w:val="34"/>
    <w:qFormat/>
    <w:rsid w:val="00E67D9D"/>
    <w:pPr>
      <w:ind w:left="720"/>
      <w:contextualSpacing/>
    </w:pPr>
  </w:style>
  <w:style w:type="paragraph" w:styleId="NormalWeb">
    <w:name w:val="Normal (Web)"/>
    <w:basedOn w:val="Normal"/>
    <w:uiPriority w:val="99"/>
    <w:unhideWhenUsed/>
    <w:rsid w:val="00397967"/>
    <w:pPr>
      <w:spacing w:before="100" w:beforeAutospacing="1" w:after="100" w:afterAutospacing="1"/>
    </w:pPr>
  </w:style>
  <w:style w:type="paragraph" w:customStyle="1" w:styleId="rubric">
    <w:name w:val="rubric"/>
    <w:basedOn w:val="Normal"/>
    <w:rsid w:val="00397967"/>
    <w:pPr>
      <w:spacing w:before="100" w:beforeAutospacing="1" w:after="100" w:afterAutospacing="1"/>
    </w:pPr>
  </w:style>
  <w:style w:type="character" w:customStyle="1" w:styleId="copybutton">
    <w:name w:val="copybutton"/>
    <w:basedOn w:val="DefaultParagraphFont"/>
    <w:rsid w:val="00397967"/>
  </w:style>
  <w:style w:type="paragraph" w:styleId="HTMLPreformatted">
    <w:name w:val="HTML Preformatted"/>
    <w:basedOn w:val="Normal"/>
    <w:link w:val="HTMLPreformattedChar"/>
    <w:uiPriority w:val="99"/>
    <w:semiHidden/>
    <w:unhideWhenUsed/>
    <w:rsid w:val="00397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397967"/>
    <w:rPr>
      <w:rFonts w:ascii="Courier New" w:eastAsia="Times New Roman" w:hAnsi="Courier New" w:cs="Courier New"/>
      <w:sz w:val="20"/>
      <w:szCs w:val="20"/>
    </w:rPr>
  </w:style>
  <w:style w:type="character" w:customStyle="1" w:styleId="gp">
    <w:name w:val="gp"/>
    <w:basedOn w:val="DefaultParagraphFont"/>
    <w:rsid w:val="00397967"/>
  </w:style>
  <w:style w:type="character" w:customStyle="1" w:styleId="n">
    <w:name w:val="n"/>
    <w:basedOn w:val="DefaultParagraphFont"/>
    <w:rsid w:val="00397967"/>
  </w:style>
  <w:style w:type="character" w:customStyle="1" w:styleId="o">
    <w:name w:val="o"/>
    <w:basedOn w:val="DefaultParagraphFont"/>
    <w:rsid w:val="00397967"/>
  </w:style>
  <w:style w:type="character" w:customStyle="1" w:styleId="p">
    <w:name w:val="p"/>
    <w:basedOn w:val="DefaultParagraphFont"/>
    <w:rsid w:val="00397967"/>
  </w:style>
  <w:style w:type="character" w:customStyle="1" w:styleId="mi">
    <w:name w:val="mi"/>
    <w:basedOn w:val="DefaultParagraphFont"/>
    <w:rsid w:val="00397967"/>
  </w:style>
  <w:style w:type="character" w:customStyle="1" w:styleId="s2">
    <w:name w:val="s2"/>
    <w:basedOn w:val="DefaultParagraphFont"/>
    <w:rsid w:val="00397967"/>
  </w:style>
  <w:style w:type="character" w:customStyle="1" w:styleId="k">
    <w:name w:val="k"/>
    <w:basedOn w:val="DefaultParagraphFont"/>
    <w:rsid w:val="00397967"/>
  </w:style>
  <w:style w:type="character" w:customStyle="1" w:styleId="ow">
    <w:name w:val="ow"/>
    <w:basedOn w:val="DefaultParagraphFont"/>
    <w:rsid w:val="00397967"/>
  </w:style>
  <w:style w:type="character" w:customStyle="1" w:styleId="nb">
    <w:name w:val="nb"/>
    <w:basedOn w:val="DefaultParagraphFont"/>
    <w:rsid w:val="00397967"/>
  </w:style>
  <w:style w:type="character" w:customStyle="1" w:styleId="sa">
    <w:name w:val="sa"/>
    <w:basedOn w:val="DefaultParagraphFont"/>
    <w:rsid w:val="00397967"/>
  </w:style>
  <w:style w:type="character" w:customStyle="1" w:styleId="si">
    <w:name w:val="si"/>
    <w:basedOn w:val="DefaultParagraphFont"/>
    <w:rsid w:val="00397967"/>
  </w:style>
  <w:style w:type="character" w:customStyle="1" w:styleId="go">
    <w:name w:val="go"/>
    <w:basedOn w:val="DefaultParagraphFont"/>
    <w:rsid w:val="00397967"/>
  </w:style>
  <w:style w:type="character" w:customStyle="1" w:styleId="brackets">
    <w:name w:val="brackets"/>
    <w:basedOn w:val="DefaultParagraphFont"/>
    <w:rsid w:val="00554CBE"/>
  </w:style>
  <w:style w:type="character" w:styleId="FollowedHyperlink">
    <w:name w:val="FollowedHyperlink"/>
    <w:basedOn w:val="DefaultParagraphFont"/>
    <w:uiPriority w:val="99"/>
    <w:semiHidden/>
    <w:unhideWhenUsed/>
    <w:rsid w:val="0012242D"/>
    <w:rPr>
      <w:color w:val="954F72" w:themeColor="followedHyperlink"/>
      <w:u w:val="single"/>
    </w:rPr>
  </w:style>
  <w:style w:type="character" w:customStyle="1" w:styleId="dttext">
    <w:name w:val="dttext"/>
    <w:basedOn w:val="DefaultParagraphFont"/>
    <w:rsid w:val="009538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029600">
      <w:bodyDiv w:val="1"/>
      <w:marLeft w:val="0"/>
      <w:marRight w:val="0"/>
      <w:marTop w:val="0"/>
      <w:marBottom w:val="0"/>
      <w:divBdr>
        <w:top w:val="none" w:sz="0" w:space="0" w:color="auto"/>
        <w:left w:val="none" w:sz="0" w:space="0" w:color="auto"/>
        <w:bottom w:val="none" w:sz="0" w:space="0" w:color="auto"/>
        <w:right w:val="none" w:sz="0" w:space="0" w:color="auto"/>
      </w:divBdr>
    </w:div>
    <w:div w:id="247078655">
      <w:bodyDiv w:val="1"/>
      <w:marLeft w:val="0"/>
      <w:marRight w:val="0"/>
      <w:marTop w:val="0"/>
      <w:marBottom w:val="0"/>
      <w:divBdr>
        <w:top w:val="none" w:sz="0" w:space="0" w:color="auto"/>
        <w:left w:val="none" w:sz="0" w:space="0" w:color="auto"/>
        <w:bottom w:val="none" w:sz="0" w:space="0" w:color="auto"/>
        <w:right w:val="none" w:sz="0" w:space="0" w:color="auto"/>
      </w:divBdr>
    </w:div>
    <w:div w:id="838227458">
      <w:bodyDiv w:val="1"/>
      <w:marLeft w:val="0"/>
      <w:marRight w:val="0"/>
      <w:marTop w:val="0"/>
      <w:marBottom w:val="0"/>
      <w:divBdr>
        <w:top w:val="none" w:sz="0" w:space="0" w:color="auto"/>
        <w:left w:val="none" w:sz="0" w:space="0" w:color="auto"/>
        <w:bottom w:val="none" w:sz="0" w:space="0" w:color="auto"/>
        <w:right w:val="none" w:sz="0" w:space="0" w:color="auto"/>
      </w:divBdr>
    </w:div>
    <w:div w:id="1314407322">
      <w:bodyDiv w:val="1"/>
      <w:marLeft w:val="0"/>
      <w:marRight w:val="0"/>
      <w:marTop w:val="0"/>
      <w:marBottom w:val="0"/>
      <w:divBdr>
        <w:top w:val="none" w:sz="0" w:space="0" w:color="auto"/>
        <w:left w:val="none" w:sz="0" w:space="0" w:color="auto"/>
        <w:bottom w:val="none" w:sz="0" w:space="0" w:color="auto"/>
        <w:right w:val="none" w:sz="0" w:space="0" w:color="auto"/>
      </w:divBdr>
    </w:div>
    <w:div w:id="1334068714">
      <w:bodyDiv w:val="1"/>
      <w:marLeft w:val="0"/>
      <w:marRight w:val="0"/>
      <w:marTop w:val="0"/>
      <w:marBottom w:val="0"/>
      <w:divBdr>
        <w:top w:val="none" w:sz="0" w:space="0" w:color="auto"/>
        <w:left w:val="none" w:sz="0" w:space="0" w:color="auto"/>
        <w:bottom w:val="none" w:sz="0" w:space="0" w:color="auto"/>
        <w:right w:val="none" w:sz="0" w:space="0" w:color="auto"/>
      </w:divBdr>
    </w:div>
    <w:div w:id="1682851418">
      <w:bodyDiv w:val="1"/>
      <w:marLeft w:val="0"/>
      <w:marRight w:val="0"/>
      <w:marTop w:val="0"/>
      <w:marBottom w:val="0"/>
      <w:divBdr>
        <w:top w:val="none" w:sz="0" w:space="0" w:color="auto"/>
        <w:left w:val="none" w:sz="0" w:space="0" w:color="auto"/>
        <w:bottom w:val="none" w:sz="0" w:space="0" w:color="auto"/>
        <w:right w:val="none" w:sz="0" w:space="0" w:color="auto"/>
      </w:divBdr>
    </w:div>
    <w:div w:id="1826625350">
      <w:bodyDiv w:val="1"/>
      <w:marLeft w:val="0"/>
      <w:marRight w:val="0"/>
      <w:marTop w:val="0"/>
      <w:marBottom w:val="0"/>
      <w:divBdr>
        <w:top w:val="none" w:sz="0" w:space="0" w:color="auto"/>
        <w:left w:val="none" w:sz="0" w:space="0" w:color="auto"/>
        <w:bottom w:val="none" w:sz="0" w:space="0" w:color="auto"/>
        <w:right w:val="none" w:sz="0" w:space="0" w:color="auto"/>
      </w:divBdr>
    </w:div>
    <w:div w:id="2102096088">
      <w:bodyDiv w:val="1"/>
      <w:marLeft w:val="0"/>
      <w:marRight w:val="0"/>
      <w:marTop w:val="0"/>
      <w:marBottom w:val="0"/>
      <w:divBdr>
        <w:top w:val="none" w:sz="0" w:space="0" w:color="auto"/>
        <w:left w:val="none" w:sz="0" w:space="0" w:color="auto"/>
        <w:bottom w:val="none" w:sz="0" w:space="0" w:color="auto"/>
        <w:right w:val="none" w:sz="0" w:space="0" w:color="auto"/>
      </w:divBdr>
      <w:divsChild>
        <w:div w:id="977105301">
          <w:marLeft w:val="0"/>
          <w:marRight w:val="0"/>
          <w:marTop w:val="240"/>
          <w:marBottom w:val="0"/>
          <w:divBdr>
            <w:top w:val="none" w:sz="0" w:space="0" w:color="auto"/>
            <w:left w:val="none" w:sz="0" w:space="0" w:color="auto"/>
            <w:bottom w:val="none" w:sz="0" w:space="0" w:color="auto"/>
            <w:right w:val="none" w:sz="0" w:space="0" w:color="auto"/>
          </w:divBdr>
          <w:divsChild>
            <w:div w:id="9929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38A06C-2D17-2446-839F-E25BA5B7B84B}">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0773DA-21E5-E44F-B916-CBEAAD83A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526</TotalTime>
  <Pages>11</Pages>
  <Words>2344</Words>
  <Characters>11632</Characters>
  <Application>Microsoft Office Word</Application>
  <DocSecurity>0</DocSecurity>
  <Lines>252</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Brouwer, Gijs Joost/Technology Division</dc:creator>
  <cp:keywords/>
  <dc:description/>
  <cp:lastModifiedBy>Gijs Joost Brouwer</cp:lastModifiedBy>
  <cp:revision>116</cp:revision>
  <dcterms:created xsi:type="dcterms:W3CDTF">2022-05-02T17:46:00Z</dcterms:created>
  <dcterms:modified xsi:type="dcterms:W3CDTF">2022-12-07T19:38:00Z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documentId_6819</vt:lpwstr>
  </property>
  <property fmtid="{D5CDD505-2E9C-101B-9397-08002B2CF9AE}" pid="3" name="grammarly_documentContext">
    <vt:lpwstr>{"goals":[],"domain":"general","emotions":[],"dialect":"american"}</vt:lpwstr>
  </property>
</Properties>
</file>