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Rapport de retombées presse — T3 2026</w:t>
      </w:r>
    </w:p>
    <w:p>
      <w:r>
        <w:rPr>
          <w:i/>
          <w:iCs/>
        </w:rPr>
        <w:t xml:space="preserve">Document interne — diffusion restreinte</w:t>
      </w:r>
    </w:p>
    <w:p>
      <w:pPr>
        <w:pStyle w:val="Heading2"/>
      </w:pPr>
      <w:r>
        <w:t xml:space="preserve">Synthèse</w:t>
      </w:r>
    </w:p>
    <w:p>
      <w:r>
        <w:t xml:space="preserve">Ce trimestre, la couverture médiatique a été portée par le parfum et l'horlogerie. Le lancement mondial de la nouvelle campagne Chanel N°5 a généré une visibilité exceptionnelle en Asie, tandis que la montre J12 a dominé la presse spécialisée européenne.</w:t>
      </w:r>
    </w:p>
    <w:p>
      <w:r>
        <w:t xml:space="preserve">En maroquinerie, le Sac Grand Shopping reste le produit le plus cité aux États-Unis, notamment dans les magazines en ligne et sur Instagram, où les publications des ambassadrices ont cumulé plus de 3 millions de mentions j'aime.</w:t>
      </w:r>
    </w:p>
    <w:p>
      <w:pPr>
        <w:pStyle w:val="Heading2"/>
      </w:pPr>
      <w:r>
        <w:t xml:space="preserve">Détail par produit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p>
            <w:r>
              <w:rPr>
                <w:b/>
                <w:bCs/>
              </w:rPr>
              <w:t xml:space="preserve">Produit</w:t>
            </w:r>
          </w:p>
        </w:tc>
        <w:tc>
          <w:p>
            <w:r>
              <w:rPr>
                <w:b/>
                <w:bCs/>
              </w:rPr>
              <w:t xml:space="preserve">Marché</w:t>
            </w:r>
          </w:p>
        </w:tc>
        <w:tc>
          <w:p>
            <w:r>
              <w:rPr>
                <w:b/>
                <w:bCs/>
              </w:rPr>
              <w:t xml:space="preserve">Retombées</w:t>
            </w:r>
          </w:p>
        </w:tc>
        <w:tc>
          <w:p>
            <w:r>
              <w:rPr>
                <w:b/>
                <w:bCs/>
              </w:rPr>
              <w:t xml:space="preserve">Tonalité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Chanel N°5</w:t>
            </w:r>
          </w:p>
        </w:tc>
        <w:tc>
          <w:p>
            <w:r>
              <w:rPr>
                <w:b w:val="false"/>
                <w:bCs w:val="false"/>
              </w:rPr>
              <w:t xml:space="preserve">APAC (Tokyo, Shanghai)</w:t>
            </w:r>
          </w:p>
        </w:tc>
        <w:tc>
          <w:p>
            <w:r>
              <w:rPr>
                <w:b w:val="false"/>
                <w:bCs w:val="false"/>
              </w:rPr>
              <w:t xml:space="preserve">42 articles</w:t>
            </w:r>
          </w:p>
        </w:tc>
        <w:tc>
          <w:p>
            <w:r>
              <w:rPr>
                <w:b w:val="false"/>
                <w:bCs w:val="false"/>
              </w:rPr>
              <w:t xml:space="preserve">Très positive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Montre J12</w:t>
            </w:r>
          </w:p>
        </w:tc>
        <w:tc>
          <w:p>
            <w:r>
              <w:rPr>
                <w:b w:val="false"/>
                <w:bCs w:val="false"/>
              </w:rPr>
              <w:t xml:space="preserve">EMEA (Genève, Dubaï)</w:t>
            </w:r>
          </w:p>
        </w:tc>
        <w:tc>
          <w:p>
            <w:r>
              <w:rPr>
                <w:b w:val="false"/>
                <w:bCs w:val="false"/>
              </w:rPr>
              <w:t xml:space="preserve">18 articles</w:t>
            </w:r>
          </w:p>
        </w:tc>
        <w:tc>
          <w:p>
            <w:r>
              <w:rPr>
                <w:b w:val="false"/>
                <w:bCs w:val="false"/>
              </w:rPr>
              <w:t xml:space="preserve">Positive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Sac Grand Shopping</w:t>
            </w:r>
          </w:p>
        </w:tc>
        <w:tc>
          <w:p>
            <w:r>
              <w:rPr>
                <w:b w:val="false"/>
                <w:bCs w:val="false"/>
              </w:rPr>
              <w:t xml:space="preserve">AMER (New York, Los Angeles)</w:t>
            </w:r>
          </w:p>
        </w:tc>
        <w:tc>
          <w:p>
            <w:r>
              <w:rPr>
                <w:b w:val="false"/>
                <w:bCs w:val="false"/>
              </w:rPr>
              <w:t xml:space="preserve">27 articles</w:t>
            </w:r>
          </w:p>
        </w:tc>
        <w:tc>
          <w:p>
            <w:r>
              <w:rPr>
                <w:b w:val="false"/>
                <w:bCs w:val="false"/>
              </w:rPr>
              <w:t xml:space="preserve">Positive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Lunettes de soleil</w:t>
            </w:r>
          </w:p>
        </w:tc>
        <w:tc>
          <w:p>
            <w:r>
              <w:rPr>
                <w:b w:val="false"/>
                <w:bCs w:val="false"/>
              </w:rPr>
              <w:t xml:space="preserve">EMEA (Milan, Cannes)</w:t>
            </w:r>
          </w:p>
        </w:tc>
        <w:tc>
          <w:p>
            <w:r>
              <w:rPr>
                <w:b w:val="false"/>
                <w:bCs w:val="false"/>
              </w:rPr>
              <w:t xml:space="preserve">11 articles</w:t>
            </w:r>
          </w:p>
        </w:tc>
        <w:tc>
          <w:p>
            <w:r>
              <w:rPr>
                <w:b w:val="false"/>
                <w:bCs w:val="false"/>
              </w:rPr>
              <w:t xml:space="preserve">Neutre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Coco Mademoiselle</w:t>
            </w:r>
          </w:p>
        </w:tc>
        <w:tc>
          <w:p>
            <w:r>
              <w:rPr>
                <w:b w:val="false"/>
                <w:bCs w:val="false"/>
              </w:rPr>
              <w:t xml:space="preserve">Global</w:t>
            </w:r>
          </w:p>
        </w:tc>
        <w:tc>
          <w:p>
            <w:r>
              <w:rPr>
                <w:b w:val="false"/>
                <w:bCs w:val="false"/>
              </w:rPr>
              <w:t xml:space="preserve">35 articles</w:t>
            </w:r>
          </w:p>
        </w:tc>
        <w:tc>
          <w:p>
            <w:r>
              <w:rPr>
                <w:b w:val="false"/>
                <w:bCs w:val="false"/>
              </w:rPr>
              <w:t xml:space="preserve">Positive</w:t>
            </w:r>
          </w:p>
        </w:tc>
      </w:tr>
    </w:tbl>
    <w:p>
      <w:pPr>
        <w:pStyle w:val="Heading2"/>
      </w:pPr>
      <w:r>
        <w:t xml:space="preserve">Visuel de campagne</w:t>
      </w:r>
    </w:p>
    <w:p>
      <w:pPr>
        <w:jc w:val="center"/>
      </w:pPr>
      <w:r>
        <w:drawing>
          <wp:inline distT="0" distB="0" distL="0" distR="0">
            <wp:extent cx="3810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Recommandations</w:t>
      </w:r>
    </w:p>
    <w:p>
      <w:pPr>
        <w:pStyle w:val="ListParagraph"/>
        <w:numPr>
          <w:ilvl w:val="0"/>
          <w:numId w:val="1"/>
        </w:numPr>
      </w:pPr>
      <w:r>
        <w:t xml:space="preserve">Renforcer la présence du parfum Coco Mademoiselle sur les blogs beauté.</w:t>
      </w:r>
    </w:p>
    <w:p>
      <w:pPr>
        <w:pStyle w:val="ListParagraph"/>
        <w:numPr>
          <w:ilvl w:val="0"/>
          <w:numId w:val="1"/>
        </w:numPr>
      </w:pPr>
      <w:r>
        <w:t xml:space="preserve">Préparer le dossier de presse joaillerie pour l'événement de décembre à Paris.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47e2f5509b83bd6e0816815e83af7a0fd77f61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retombées presse — T3 2026</dc:title>
  <dc:creator>Service Relations Presse (fictif)</dc:creator>
  <cp:lastModifiedBy>Un-named</cp:lastModifiedBy>
  <cp:revision>1</cp:revision>
  <dcterms:created xsi:type="dcterms:W3CDTF">2026-10-14T14:16:12.222Z</dcterms:created>
  <dcterms:modified xsi:type="dcterms:W3CDTF">2026-10-14T14:16:12.222Z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