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ML-1"/>
      <w:bookmarkEnd w:id="21"/>
      <w:r>
        <w:t xml:space="preserve">1 EML-1</w:t>
      </w:r>
    </w:p>
    <w:p>
      <w:pPr>
        <w:pStyle w:val="FirstParagraph"/>
      </w:pPr>
      <w:r>
        <w:t xml:space="preserve">WFIRST shall measure the mass function of exoplanets with masses &gt; 1 MEarth and orbital semi-major axes &gt;=1 AU to better than 10% (TBV) per decade in mass.</w:t>
      </w:r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22">
        <w:r>
          <w:rPr>
            <w:rStyle w:val="Hyperlink"/>
          </w:rPr>
          <w:t xml:space="preserve">EML-7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EML-8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EML-9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EML-10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EML-12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EML-13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EML-14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EML-15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EML-16</w:t>
        </w:r>
      </w:hyperlink>
    </w:p>
    <w:p>
      <w:pPr>
        <w:pStyle w:val="Heading1"/>
      </w:pPr>
      <w:bookmarkStart w:id="31" w:name="EML-2"/>
      <w:bookmarkEnd w:id="31"/>
      <w:r>
        <w:t xml:space="preserve">2 EML-2</w:t>
      </w:r>
    </w:p>
    <w:p>
      <w:pPr>
        <w:pStyle w:val="FirstParagraph"/>
      </w:pPr>
      <w:r>
        <w:t xml:space="preserve">WFIRST shall measure the frequency of Mars-mass objects to 20% (TBV).</w:t>
      </w:r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22">
        <w:r>
          <w:rPr>
            <w:rStyle w:val="Hyperlink"/>
          </w:rPr>
          <w:t xml:space="preserve">EML-7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EML-8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EML-9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EML-10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EML-12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EML-13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EML-14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EML-15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EML-16</w:t>
        </w:r>
      </w:hyperlink>
    </w:p>
    <w:p>
      <w:pPr>
        <w:pStyle w:val="Heading1"/>
      </w:pPr>
      <w:bookmarkStart w:id="32" w:name="EML-3"/>
      <w:bookmarkEnd w:id="32"/>
      <w:r>
        <w:t xml:space="preserve">3 EML-3</w:t>
      </w:r>
    </w:p>
    <w:p>
      <w:pPr>
        <w:pStyle w:val="FirstParagraph"/>
      </w:pPr>
      <w:r>
        <w:t xml:space="preserve">WFIRST shall determine the masses of, and distances to, host stars of 50% (TBV) of the detected planets with a precision of 20% (TBV).</w:t>
      </w:r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33">
        <w:r>
          <w:rPr>
            <w:rStyle w:val="Hyperlink"/>
          </w:rPr>
          <w:t xml:space="preserve">EML-11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EML-17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EML-18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EML-19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EML-20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EML-21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EML-22</w:t>
        </w:r>
      </w:hyperlink>
    </w:p>
    <w:p>
      <w:pPr>
        <w:pStyle w:val="Heading1"/>
      </w:pPr>
      <w:bookmarkStart w:id="40" w:name="EML-4"/>
      <w:bookmarkEnd w:id="40"/>
      <w:r>
        <w:t xml:space="preserve">4 EML-4</w:t>
      </w:r>
    </w:p>
    <w:p>
      <w:pPr>
        <w:pStyle w:val="FirstParagraph"/>
      </w:pPr>
      <w:r>
        <w:t xml:space="preserve">WFIRST shall measure the frequency of free floating planetary-mass objects in the Galaxy from Mars to 10 Jupiter masses in mass. If there is one MEarth free-floating planet per star, measure this frequency to ~20% (TBV).</w:t>
      </w:r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22">
        <w:r>
          <w:rPr>
            <w:rStyle w:val="Hyperlink"/>
          </w:rPr>
          <w:t xml:space="preserve">EML-7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EML-8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EML-9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EML-10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EML-12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EML-13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EML-14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EML-15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EML-16</w:t>
        </w:r>
      </w:hyperlink>
    </w:p>
    <w:p>
      <w:pPr>
        <w:pStyle w:val="Heading1"/>
      </w:pPr>
      <w:bookmarkStart w:id="41" w:name="EML-5"/>
      <w:bookmarkEnd w:id="41"/>
      <w:r>
        <w:t xml:space="preserve">5 EML-5</w:t>
      </w:r>
    </w:p>
    <w:p>
      <w:pPr>
        <w:pStyle w:val="FirstParagraph"/>
      </w:pPr>
      <w:r>
        <w:t xml:space="preserve">WFIRST shall measure the masses of 50% (TBV) of free-floating detected planetary-mass objects to a precision of 20% (TBV) down to a mass of Mearth.</w:t>
      </w:r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33">
        <w:r>
          <w:rPr>
            <w:rStyle w:val="Hyperlink"/>
          </w:rPr>
          <w:t xml:space="preserve">EML-11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EML-17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EML-18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EML-19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EML-20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EML-21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EML-22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EML-100</w:t>
        </w:r>
      </w:hyperlink>
    </w:p>
    <w:p>
      <w:pPr>
        <w:pStyle w:val="Heading1"/>
      </w:pPr>
      <w:bookmarkStart w:id="43" w:name="EML-6"/>
      <w:bookmarkEnd w:id="43"/>
      <w:r>
        <w:t xml:space="preserve">6 EML-6</w:t>
      </w:r>
    </w:p>
    <w:p>
      <w:pPr>
        <w:pStyle w:val="FirstParagraph"/>
      </w:pPr>
      <w:r>
        <w:t xml:space="preserve">WFIRST shall estimate eta_Earth to a precision of 20% (TBV) via extrapolation from larger and longer-period planets.</w:t>
      </w:r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22">
        <w:r>
          <w:rPr>
            <w:rStyle w:val="Hyperlink"/>
          </w:rPr>
          <w:t xml:space="preserve">EML-7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EML-8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EML-9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EML-10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EML-12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EML-13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EML-14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EML-15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EML-16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aefa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L2.html#EML-10" TargetMode="External" /><Relationship Type="http://schemas.openxmlformats.org/officeDocument/2006/relationships/hyperlink" Id="rId42" Target="L2.html#EML-100" TargetMode="External" /><Relationship Type="http://schemas.openxmlformats.org/officeDocument/2006/relationships/hyperlink" Id="rId33" Target="L2.html#EML-11" TargetMode="External" /><Relationship Type="http://schemas.openxmlformats.org/officeDocument/2006/relationships/hyperlink" Id="rId26" Target="L2.html#EML-12" TargetMode="External" /><Relationship Type="http://schemas.openxmlformats.org/officeDocument/2006/relationships/hyperlink" Id="rId27" Target="L2.html#EML-13" TargetMode="External" /><Relationship Type="http://schemas.openxmlformats.org/officeDocument/2006/relationships/hyperlink" Id="rId28" Target="L2.html#EML-14" TargetMode="External" /><Relationship Type="http://schemas.openxmlformats.org/officeDocument/2006/relationships/hyperlink" Id="rId29" Target="L2.html#EML-15" TargetMode="External" /><Relationship Type="http://schemas.openxmlformats.org/officeDocument/2006/relationships/hyperlink" Id="rId30" Target="L2.html#EML-16" TargetMode="External" /><Relationship Type="http://schemas.openxmlformats.org/officeDocument/2006/relationships/hyperlink" Id="rId34" Target="L2.html#EML-17" TargetMode="External" /><Relationship Type="http://schemas.openxmlformats.org/officeDocument/2006/relationships/hyperlink" Id="rId35" Target="L2.html#EML-18" TargetMode="External" /><Relationship Type="http://schemas.openxmlformats.org/officeDocument/2006/relationships/hyperlink" Id="rId36" Target="L2.html#EML-19" TargetMode="External" /><Relationship Type="http://schemas.openxmlformats.org/officeDocument/2006/relationships/hyperlink" Id="rId37" Target="L2.html#EML-20" TargetMode="External" /><Relationship Type="http://schemas.openxmlformats.org/officeDocument/2006/relationships/hyperlink" Id="rId38" Target="L2.html#EML-21" TargetMode="External" /><Relationship Type="http://schemas.openxmlformats.org/officeDocument/2006/relationships/hyperlink" Id="rId39" Target="L2.html#EML-22" TargetMode="External" /><Relationship Type="http://schemas.openxmlformats.org/officeDocument/2006/relationships/hyperlink" Id="rId22" Target="L2.html#EML-7" TargetMode="External" /><Relationship Type="http://schemas.openxmlformats.org/officeDocument/2006/relationships/hyperlink" Id="rId23" Target="L2.html#EML-8" TargetMode="External" /><Relationship Type="http://schemas.openxmlformats.org/officeDocument/2006/relationships/hyperlink" Id="rId24" Target="L2.html#EML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L2.html#EML-10" TargetMode="External" /><Relationship Type="http://schemas.openxmlformats.org/officeDocument/2006/relationships/hyperlink" Id="rId42" Target="L2.html#EML-100" TargetMode="External" /><Relationship Type="http://schemas.openxmlformats.org/officeDocument/2006/relationships/hyperlink" Id="rId33" Target="L2.html#EML-11" TargetMode="External" /><Relationship Type="http://schemas.openxmlformats.org/officeDocument/2006/relationships/hyperlink" Id="rId26" Target="L2.html#EML-12" TargetMode="External" /><Relationship Type="http://schemas.openxmlformats.org/officeDocument/2006/relationships/hyperlink" Id="rId27" Target="L2.html#EML-13" TargetMode="External" /><Relationship Type="http://schemas.openxmlformats.org/officeDocument/2006/relationships/hyperlink" Id="rId28" Target="L2.html#EML-14" TargetMode="External" /><Relationship Type="http://schemas.openxmlformats.org/officeDocument/2006/relationships/hyperlink" Id="rId29" Target="L2.html#EML-15" TargetMode="External" /><Relationship Type="http://schemas.openxmlformats.org/officeDocument/2006/relationships/hyperlink" Id="rId30" Target="L2.html#EML-16" TargetMode="External" /><Relationship Type="http://schemas.openxmlformats.org/officeDocument/2006/relationships/hyperlink" Id="rId34" Target="L2.html#EML-17" TargetMode="External" /><Relationship Type="http://schemas.openxmlformats.org/officeDocument/2006/relationships/hyperlink" Id="rId35" Target="L2.html#EML-18" TargetMode="External" /><Relationship Type="http://schemas.openxmlformats.org/officeDocument/2006/relationships/hyperlink" Id="rId36" Target="L2.html#EML-19" TargetMode="External" /><Relationship Type="http://schemas.openxmlformats.org/officeDocument/2006/relationships/hyperlink" Id="rId37" Target="L2.html#EML-20" TargetMode="External" /><Relationship Type="http://schemas.openxmlformats.org/officeDocument/2006/relationships/hyperlink" Id="rId38" Target="L2.html#EML-21" TargetMode="External" /><Relationship Type="http://schemas.openxmlformats.org/officeDocument/2006/relationships/hyperlink" Id="rId39" Target="L2.html#EML-22" TargetMode="External" /><Relationship Type="http://schemas.openxmlformats.org/officeDocument/2006/relationships/hyperlink" Id="rId22" Target="L2.html#EML-7" TargetMode="External" /><Relationship Type="http://schemas.openxmlformats.org/officeDocument/2006/relationships/hyperlink" Id="rId23" Target="L2.html#EML-8" TargetMode="External" /><Relationship Type="http://schemas.openxmlformats.org/officeDocument/2006/relationships/hyperlink" Id="rId24" Target="L2.html#EML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2017-03-21T19:49:52Z</dcterms:created>
  <dcterms:modified xsi:type="dcterms:W3CDTF">2017-03-21T19:49:52Z</dcterms:modified>
</cp:coreProperties>
</file>