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Times New Roman" w:hAnsi="Times New Roman"/>
          <w:b/>
          <w:color w:val="17352F"/>
          <w:sz w:val="32"/>
        </w:rPr>
        <w:t>4. DESAIN PRODUK</w:t>
      </w:r>
    </w:p>
    <w:p>
      <w:pPr>
        <w:spacing w:after="280"/>
        <w:jc w:val="center"/>
      </w:pPr>
      <w:r>
        <w:rPr>
          <w:b/>
          <w:color w:val="0F5C4D"/>
          <w:sz w:val="22"/>
        </w:rPr>
        <w:t>NUTRISPHERE - EKOSISTEM PEMBELAJARAN GIZI TERPADU</w:t>
      </w:r>
    </w:p>
    <w:p>
      <w:r>
        <w:t>NutriSphere dirancang sebagai ekosistem pembelajaran gizi berbasis web yang menyatukan asesmen awal, sumber ilmiah, simulasi penalaran klinis, pembelajaran berbasis kasus, dan evaluasi kompetensi dalam satu alur. Desain produk menempatkan mahasiswa sebagai pengguna utama, sedangkan dosen memperoleh ringkasan perkembangan belajar melalui dashboard. Antarmuka dibuat konsisten, mudah dipelajari, dan dapat diakses melalui peramban tanpa proses instalasi aplikasi tambahan.</w:t>
      </w:r>
    </w:p>
    <w:p>
      <w:pPr>
        <w:spacing w:after="40"/>
        <w:jc w:val="center"/>
      </w:pPr>
      <w:r>
        <w:drawing>
          <wp:inline xmlns:a="http://schemas.openxmlformats.org/drawingml/2006/main" xmlns:pic="http://schemas.openxmlformats.org/drawingml/2006/picture">
            <wp:extent cx="5715000" cy="3216664"/>
            <wp:docPr id="1" name="Picture 1"/>
            <wp:cNvGraphicFramePr>
              <a:graphicFrameLocks noChangeAspect="1"/>
            </wp:cNvGraphicFramePr>
            <a:graphic>
              <a:graphicData uri="http://schemas.openxmlformats.org/drawingml/2006/picture">
                <pic:pic>
                  <pic:nvPicPr>
                    <pic:cNvPr id="0" name="01-landing.png"/>
                    <pic:cNvPicPr/>
                  </pic:nvPicPr>
                  <pic:blipFill>
                    <a:blip r:embed="rId9"/>
                    <a:stretch>
                      <a:fillRect/>
                    </a:stretch>
                  </pic:blipFill>
                  <pic:spPr>
                    <a:xfrm>
                      <a:off x="0" y="0"/>
                      <a:ext cx="5715000" cy="3216664"/>
                    </a:xfrm>
                    <a:prstGeom prst="rect"/>
                  </pic:spPr>
                </pic:pic>
              </a:graphicData>
            </a:graphic>
          </wp:inline>
        </w:drawing>
      </w:r>
    </w:p>
    <w:p>
      <w:pPr>
        <w:spacing w:before="40" w:after="160"/>
        <w:jc w:val="center"/>
      </w:pPr>
      <w:r>
        <w:rPr>
          <w:rFonts w:ascii="Times New Roman" w:hAnsi="Times New Roman"/>
          <w:i/>
          <w:sz w:val="18"/>
        </w:rPr>
        <w:t>Gambar 4.1. Tampilan halaman utama NutriSphere pada versi web.</w:t>
      </w:r>
    </w:p>
    <w:p>
      <w:pPr>
        <w:pStyle w:val="Heading1"/>
      </w:pPr>
      <w:r>
        <w:t>4.1 Desain UI/UX</w:t>
      </w:r>
    </w:p>
    <w:p>
      <w:r>
        <w:t>Desain UI/UX NutriSphere dikembangkan dengan pendekatan user-centered untuk membantu mahasiswa bergerak dari pemetaan pengetahuan awal menuju latihan penalaran dan evaluasi hasil. Struktur navigasi mempertahankan lima pilar produk pada sidebar yang sama di setiap halaman, sehingga pengguna tidak perlu mempelajari pola navigasi baru ketika berpindah fitur. Hierarki visual menonjolkan judul halaman, konteks fitur, tindakan utama, dan status akun secara berurutan.</w:t>
      </w:r>
    </w:p>
    <w:tbl>
      <w:tblPr>
        <w:tblW w:type="auto" w:w="0"/>
        <w:jc w:val="center"/>
        <w:tblLayout w:type="fixed"/>
        <w:tblLook w:firstColumn="1" w:firstRow="1" w:lastColumn="0" w:lastRow="0" w:noHBand="0" w:noVBand="1" w:val="04A0"/>
      </w:tblPr>
      <w:tblGrid>
        <w:gridCol w:w="2376"/>
        <w:gridCol w:w="6984"/>
      </w:tblGrid>
      <w:tr>
        <w:trPr>
          <w:cantSplit/>
        </w:trPr>
        <w:tc>
          <w:tcPr>
            <w:tcW w:type="dxa" w:w="4773"/>
            <w:tcMar>
              <w:top w:w="90" w:type="dxa"/>
              <w:start w:w="110" w:type="dxa"/>
              <w:bottom w:w="90" w:type="dxa"/>
              <w:end w:w="110" w:type="dxa"/>
            </w:tcMar>
            <w:vAlign w:val="center"/>
            <w:shd w:fill="0F5C4D"/>
          </w:tcPr>
          <w:p>
            <w:pPr>
              <w:spacing w:after="0" w:line="269" w:lineRule="auto"/>
              <w:jc w:val="left"/>
            </w:pPr>
            <w:r/>
            <w:r>
              <w:rPr>
                <w:rFonts w:ascii="Times New Roman" w:hAnsi="Times New Roman"/>
                <w:b/>
                <w:color w:val="FFFFFF"/>
                <w:sz w:val="20"/>
              </w:rPr>
              <w:t>Aspek Desain</w:t>
            </w:r>
          </w:p>
        </w:tc>
        <w:tc>
          <w:tcPr>
            <w:tcW w:type="dxa" w:w="4773"/>
            <w:tcMar>
              <w:top w:w="90" w:type="dxa"/>
              <w:start w:w="110" w:type="dxa"/>
              <w:bottom w:w="90" w:type="dxa"/>
              <w:end w:w="110" w:type="dxa"/>
            </w:tcMar>
            <w:vAlign w:val="center"/>
            <w:shd w:fill="0F5C4D"/>
          </w:tcPr>
          <w:p>
            <w:pPr>
              <w:spacing w:after="0" w:line="269" w:lineRule="auto"/>
              <w:jc w:val="left"/>
            </w:pPr>
            <w:r/>
            <w:r>
              <w:rPr>
                <w:rFonts w:ascii="Times New Roman" w:hAnsi="Times New Roman"/>
                <w:b/>
                <w:color w:val="FFFFFF"/>
                <w:sz w:val="20"/>
              </w:rPr>
              <w:t>Implementasi pada NutriSphere</w:t>
            </w:r>
          </w:p>
        </w:tc>
      </w:tr>
      <w:tr>
        <w:trPr>
          <w:cantSplit/>
        </w:trPr>
        <w:tc>
          <w:tcPr>
            <w:tcW w:type="dxa" w:w="2376"/>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Konsistensi</w:t>
            </w:r>
          </w:p>
        </w:tc>
        <w:tc>
          <w:tcPr>
            <w:tcW w:type="dxa" w:w="6984"/>
            <w:tcMar>
              <w:top w:w="90" w:type="dxa"/>
              <w:start w:w="110" w:type="dxa"/>
              <w:bottom w:w="90" w:type="dxa"/>
              <w:end w:w="110" w:type="dxa"/>
            </w:tcMar>
            <w:vAlign w:val="center"/>
          </w:tcPr>
          <w:p>
            <w:pPr>
              <w:spacing w:after="0" w:line="269" w:lineRule="auto"/>
              <w:jc w:val="left"/>
            </w:pPr>
            <w:r/>
            <w:r>
              <w:rPr>
                <w:rFonts w:ascii="Times New Roman" w:hAnsi="Times New Roman"/>
                <w:b w:val="0"/>
                <w:sz w:val="20"/>
              </w:rPr>
              <w:t>Sidebar, kartu, tombol, label fitur, dan status akun memakai pola visual yang seragam pada seluruh halaman.</w:t>
            </w:r>
          </w:p>
        </w:tc>
      </w:tr>
      <w:tr>
        <w:trPr>
          <w:cantSplit/>
        </w:trPr>
        <w:tc>
          <w:tcPr>
            <w:tcW w:type="dxa" w:w="2376"/>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Hierarki informasi</w:t>
            </w:r>
          </w:p>
        </w:tc>
        <w:tc>
          <w:tcPr>
            <w:tcW w:type="dxa" w:w="6984"/>
            <w:tcMar>
              <w:top w:w="90" w:type="dxa"/>
              <w:start w:w="110" w:type="dxa"/>
              <w:bottom w:w="90" w:type="dxa"/>
              <w:end w:w="110" w:type="dxa"/>
            </w:tcMar>
            <w:vAlign w:val="center"/>
          </w:tcPr>
          <w:p>
            <w:pPr>
              <w:spacing w:after="0" w:line="269" w:lineRule="auto"/>
              <w:jc w:val="left"/>
            </w:pPr>
            <w:r/>
            <w:r>
              <w:rPr>
                <w:rFonts w:ascii="Times New Roman" w:hAnsi="Times New Roman"/>
                <w:b w:val="0"/>
                <w:sz w:val="20"/>
              </w:rPr>
              <w:t>Judul dan konteks halaman ditampilkan terlebih dahulu, diikuti aktivitas utama, informasi pendukung, serta navigasi lanjutan.</w:t>
            </w:r>
          </w:p>
        </w:tc>
      </w:tr>
      <w:tr>
        <w:trPr>
          <w:cantSplit/>
        </w:trPr>
        <w:tc>
          <w:tcPr>
            <w:tcW w:type="dxa" w:w="2376"/>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Aksesibilitas</w:t>
            </w:r>
          </w:p>
        </w:tc>
        <w:tc>
          <w:tcPr>
            <w:tcW w:type="dxa" w:w="6984"/>
            <w:tcMar>
              <w:top w:w="90" w:type="dxa"/>
              <w:start w:w="110" w:type="dxa"/>
              <w:bottom w:w="90" w:type="dxa"/>
              <w:end w:w="110" w:type="dxa"/>
            </w:tcMar>
            <w:vAlign w:val="center"/>
          </w:tcPr>
          <w:p>
            <w:pPr>
              <w:spacing w:after="0" w:line="269" w:lineRule="auto"/>
              <w:jc w:val="left"/>
            </w:pPr>
            <w:r/>
            <w:r>
              <w:rPr>
                <w:rFonts w:ascii="Times New Roman" w:hAnsi="Times New Roman"/>
                <w:b w:val="0"/>
                <w:sz w:val="20"/>
              </w:rPr>
              <w:t>Kontras hijau gelap dan latar terang, ukuran teks yang terbaca, fokus keyboard, serta struktur tombol yang jelas mendukung kemudahan penggunaan.</w:t>
            </w:r>
          </w:p>
        </w:tc>
      </w:tr>
      <w:tr>
        <w:trPr>
          <w:cantSplit/>
        </w:trPr>
        <w:tc>
          <w:tcPr>
            <w:tcW w:type="dxa" w:w="2376"/>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Umpan balik</w:t>
            </w:r>
          </w:p>
        </w:tc>
        <w:tc>
          <w:tcPr>
            <w:tcW w:type="dxa" w:w="6984"/>
            <w:tcMar>
              <w:top w:w="90" w:type="dxa"/>
              <w:start w:w="110" w:type="dxa"/>
              <w:bottom w:w="90" w:type="dxa"/>
              <w:end w:w="110" w:type="dxa"/>
            </w:tcMar>
            <w:vAlign w:val="center"/>
          </w:tcPr>
          <w:p>
            <w:pPr>
              <w:spacing w:after="0" w:line="269" w:lineRule="auto"/>
              <w:jc w:val="left"/>
            </w:pPr>
            <w:r/>
            <w:r>
              <w:rPr>
                <w:rFonts w:ascii="Times New Roman" w:hAnsi="Times New Roman"/>
                <w:b w:val="0"/>
                <w:sz w:val="20"/>
              </w:rPr>
              <w:t>Status loading, validasi form, skor, progress kasus, dan pesan kegagalan membantu pengguna memahami hasil setiap tindakan.</w:t>
            </w:r>
          </w:p>
        </w:tc>
      </w:tr>
      <w:tr>
        <w:trPr>
          <w:cantSplit/>
        </w:trPr>
        <w:tc>
          <w:tcPr>
            <w:tcW w:type="dxa" w:w="2376"/>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Responsivitas</w:t>
            </w:r>
          </w:p>
        </w:tc>
        <w:tc>
          <w:tcPr>
            <w:tcW w:type="dxa" w:w="6984"/>
            <w:tcMar>
              <w:top w:w="90" w:type="dxa"/>
              <w:start w:w="110" w:type="dxa"/>
              <w:bottom w:w="90" w:type="dxa"/>
              <w:end w:w="110" w:type="dxa"/>
            </w:tcMar>
            <w:vAlign w:val="center"/>
          </w:tcPr>
          <w:p>
            <w:pPr>
              <w:spacing w:after="0" w:line="269" w:lineRule="auto"/>
              <w:jc w:val="left"/>
            </w:pPr>
            <w:r/>
            <w:r>
              <w:rPr>
                <w:rFonts w:ascii="Times New Roman" w:hAnsi="Times New Roman"/>
                <w:b w:val="0"/>
                <w:sz w:val="20"/>
              </w:rPr>
              <w:t>Tata letak menyesuaikan desktop dan perangkat bergerak melalui navigasi yang dapat diciutkan serta komponen berbasis kartu.</w:t>
            </w:r>
          </w:p>
        </w:tc>
      </w:tr>
      <w:tr>
        <w:trPr>
          <w:cantSplit/>
        </w:trPr>
        <w:tc>
          <w:tcPr>
            <w:tcW w:type="dxa" w:w="2376"/>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Keamanan alur</w:t>
            </w:r>
          </w:p>
        </w:tc>
        <w:tc>
          <w:tcPr>
            <w:tcW w:type="dxa" w:w="6984"/>
            <w:tcMar>
              <w:top w:w="90" w:type="dxa"/>
              <w:start w:w="110" w:type="dxa"/>
              <w:bottom w:w="90" w:type="dxa"/>
              <w:end w:w="110" w:type="dxa"/>
            </w:tcMar>
            <w:vAlign w:val="center"/>
          </w:tcPr>
          <w:p>
            <w:pPr>
              <w:spacing w:after="0" w:line="269" w:lineRule="auto"/>
              <w:jc w:val="left"/>
            </w:pPr>
            <w:r/>
            <w:r>
              <w:rPr>
                <w:rFonts w:ascii="Times New Roman" w:hAnsi="Times New Roman"/>
                <w:b w:val="0"/>
                <w:sz w:val="20"/>
              </w:rPr>
              <w:t>Login dan pretest menjadi gerbang akses fitur, sedangkan parameter tujuan membawa pengguna kembali ke halaman yang semula dipilih.</w:t>
            </w:r>
          </w:p>
        </w:tc>
      </w:tr>
    </w:tbl>
    <w:p>
      <w:pPr>
        <w:spacing w:before="40" w:after="160"/>
        <w:jc w:val="center"/>
      </w:pPr>
      <w:r>
        <w:rPr>
          <w:rFonts w:ascii="Times New Roman" w:hAnsi="Times New Roman"/>
          <w:i/>
          <w:sz w:val="18"/>
        </w:rPr>
        <w:t>Tabel 4.1. Prinsip UI/UX NutriSphere.</w:t>
      </w:r>
    </w:p>
    <w:p>
      <w:pPr>
        <w:pStyle w:val="Heading2"/>
      </w:pPr>
      <w:r>
        <w:t>4.1.1 Identitas Visual</w:t>
      </w:r>
    </w:p>
    <w:p>
      <w:r>
        <w:t>Identitas visual NutriSphere menggunakan warna hijau tua sebagai warna utama untuk membangun asosiasi dengan kesehatan, pertumbuhan, dan keberlanjutan. Latar putih-kehijauan menjaga area baca tetap ringan, sedangkan aksen hijau terang dipakai untuk tombol utama, indikator aktif, dan penanda capaian. Tipografi sans-serif berukuran besar pada judul memperkuat kesan modern, sementara kartu berujung membulat memberi tampilan ramah dan tidak menyerupai sistem klinis yang kaku.</w:t>
      </w:r>
    </w:p>
    <w:p>
      <w:pPr>
        <w:pStyle w:val="ListBullet"/>
        <w:spacing w:after="80" w:line="283" w:lineRule="auto"/>
        <w:ind w:left="374" w:hanging="230"/>
      </w:pPr>
      <w:r>
        <w:t>Warna utama: hijau tua untuk navigasi dan identitas produk.</w:t>
      </w:r>
    </w:p>
    <w:p>
      <w:pPr>
        <w:pStyle w:val="ListBullet"/>
        <w:spacing w:after="80" w:line="283" w:lineRule="auto"/>
        <w:ind w:left="374" w:hanging="230"/>
      </w:pPr>
      <w:r>
        <w:t>Warna aksen: hijau terang untuk call-to-action, status aktif, dan indikator keberhasilan.</w:t>
      </w:r>
    </w:p>
    <w:p>
      <w:pPr>
        <w:pStyle w:val="ListBullet"/>
        <w:spacing w:after="80" w:line="283" w:lineRule="auto"/>
        <w:ind w:left="374" w:hanging="230"/>
      </w:pPr>
      <w:r>
        <w:t>Latar: putih dan gradasi hijau sangat muda untuk menjaga keterbacaan konten.</w:t>
      </w:r>
    </w:p>
    <w:p>
      <w:pPr>
        <w:pStyle w:val="ListBullet"/>
        <w:spacing w:after="80" w:line="283" w:lineRule="auto"/>
        <w:ind w:left="374" w:hanging="230"/>
      </w:pPr>
      <w:r>
        <w:t>Ikon: ikon semantik berbasis SVG agar arti fitur dapat dikenali secara cepat dan konsisten.</w:t>
      </w:r>
    </w:p>
    <w:p>
      <w:pPr>
        <w:pStyle w:val="Heading2"/>
      </w:pPr>
      <w:r>
        <w:t>4.1.2 Arsitektur Informasi dan Alur Pengguna</w:t>
      </w:r>
    </w:p>
    <w:p>
      <w:r>
        <w:t>Arsitektur informasi dibangun berdasarkan lima pilar: NutriSolve, NutriBase, NutriPath, NutriRead, dan NutriQuest. Alur utama mahasiswa dimulai dari halaman beranda, dilanjutkan login atau registrasi, pretest, eksplorasi materi dan simulasi, latihan kasus, kemudian posttest. Pretest berfungsi sebagai feature gate global agar aktivitas belajar memiliki data baseline, sedangkan posttest digunakan sebagai evaluasi akhir tanpa mengunci akses ke fitur lain.</w:t>
      </w:r>
    </w:p>
    <w:tbl>
      <w:tblPr>
        <w:tblW w:type="auto" w:w="0"/>
        <w:jc w:val="center"/>
        <w:tblLayout w:type="fixed"/>
        <w:tblLook w:firstColumn="1" w:firstRow="1" w:lastColumn="0" w:lastRow="0" w:noHBand="0" w:noVBand="1" w:val="04A0"/>
      </w:tblPr>
      <w:tblGrid>
        <w:gridCol w:w="2387"/>
        <w:gridCol w:w="2387"/>
        <w:gridCol w:w="2387"/>
        <w:gridCol w:w="2387"/>
      </w:tblGrid>
      <w:tr>
        <w:trPr>
          <w:cantSplit/>
        </w:trPr>
        <w:tc>
          <w:tcPr>
            <w:tcW w:type="dxa" w:w="2387"/>
            <w:shd w:fill="CFF7DF"/>
            <w:tcMar>
              <w:top w:w="120" w:type="dxa"/>
              <w:start w:w="100" w:type="dxa"/>
              <w:bottom w:w="120" w:type="dxa"/>
              <w:end w:w="100" w:type="dxa"/>
            </w:tcMar>
          </w:tcPr>
          <w:p>
            <w:pPr>
              <w:jc w:val="center"/>
            </w:pPr>
            <w:r/>
            <w:r>
              <w:rPr>
                <w:b/>
                <w:color w:val="0F5C4D"/>
                <w:sz w:val="26"/>
              </w:rPr>
              <w:t>01</w:t>
            </w:r>
          </w:p>
          <w:p>
            <w:pPr>
              <w:spacing w:after="0" w:line="252" w:lineRule="auto"/>
              <w:jc w:val="center"/>
            </w:pPr>
            <w:r>
              <w:rPr>
                <w:b/>
                <w:sz w:val="18"/>
              </w:rPr>
              <w:t>Ukur baseline</w:t>
              <w:br/>
              <w:t>Login dan pretest</w:t>
            </w:r>
          </w:p>
        </w:tc>
        <w:tc>
          <w:tcPr>
            <w:tcW w:type="dxa" w:w="2387"/>
            <w:shd w:fill="EFF8F3"/>
            <w:tcMar>
              <w:top w:w="120" w:type="dxa"/>
              <w:start w:w="100" w:type="dxa"/>
              <w:bottom w:w="120" w:type="dxa"/>
              <w:end w:w="100" w:type="dxa"/>
            </w:tcMar>
          </w:tcPr>
          <w:p>
            <w:pPr>
              <w:jc w:val="center"/>
            </w:pPr>
            <w:r/>
            <w:r>
              <w:rPr>
                <w:b/>
                <w:color w:val="0F5C4D"/>
                <w:sz w:val="26"/>
              </w:rPr>
              <w:t>02</w:t>
            </w:r>
          </w:p>
          <w:p>
            <w:pPr>
              <w:spacing w:after="0" w:line="252" w:lineRule="auto"/>
              <w:jc w:val="center"/>
            </w:pPr>
            <w:r>
              <w:rPr>
                <w:b/>
                <w:sz w:val="18"/>
              </w:rPr>
              <w:t>Pelajari fondasi</w:t>
              <w:br/>
              <w:t>Referensi dan modul</w:t>
            </w:r>
          </w:p>
        </w:tc>
        <w:tc>
          <w:tcPr>
            <w:tcW w:type="dxa" w:w="2387"/>
            <w:shd w:fill="EFF8F3"/>
            <w:tcMar>
              <w:top w:w="120" w:type="dxa"/>
              <w:start w:w="100" w:type="dxa"/>
              <w:bottom w:w="120" w:type="dxa"/>
              <w:end w:w="100" w:type="dxa"/>
            </w:tcMar>
          </w:tcPr>
          <w:p>
            <w:pPr>
              <w:jc w:val="center"/>
            </w:pPr>
            <w:r/>
            <w:r>
              <w:rPr>
                <w:b/>
                <w:color w:val="0F5C4D"/>
                <w:sz w:val="26"/>
              </w:rPr>
              <w:t>03</w:t>
            </w:r>
          </w:p>
          <w:p>
            <w:pPr>
              <w:spacing w:after="0" w:line="252" w:lineRule="auto"/>
              <w:jc w:val="center"/>
            </w:pPr>
            <w:r>
              <w:rPr>
                <w:b/>
                <w:sz w:val="18"/>
              </w:rPr>
              <w:t>Latih penalaran</w:t>
              <w:br/>
              <w:t>DSS dan kasus 3D</w:t>
            </w:r>
          </w:p>
        </w:tc>
        <w:tc>
          <w:tcPr>
            <w:tcW w:type="dxa" w:w="2387"/>
            <w:shd w:fill="CFF7DF"/>
            <w:tcMar>
              <w:top w:w="120" w:type="dxa"/>
              <w:start w:w="100" w:type="dxa"/>
              <w:bottom w:w="120" w:type="dxa"/>
              <w:end w:w="100" w:type="dxa"/>
            </w:tcMar>
          </w:tcPr>
          <w:p>
            <w:pPr>
              <w:jc w:val="center"/>
            </w:pPr>
            <w:r/>
            <w:r>
              <w:rPr>
                <w:b/>
                <w:color w:val="0F5C4D"/>
                <w:sz w:val="26"/>
              </w:rPr>
              <w:t>04</w:t>
            </w:r>
          </w:p>
          <w:p>
            <w:pPr>
              <w:spacing w:after="0" w:line="252" w:lineRule="auto"/>
              <w:jc w:val="center"/>
            </w:pPr>
            <w:r>
              <w:rPr>
                <w:b/>
                <w:sz w:val="18"/>
              </w:rPr>
              <w:t>Buktikan progres</w:t>
              <w:br/>
              <w:t>Posttest dan dashboard</w:t>
            </w:r>
          </w:p>
        </w:tc>
      </w:tr>
    </w:tbl>
    <w:p>
      <w:pPr>
        <w:spacing w:before="40" w:after="160"/>
        <w:jc w:val="center"/>
      </w:pPr>
      <w:r>
        <w:rPr>
          <w:rFonts w:ascii="Times New Roman" w:hAnsi="Times New Roman"/>
          <w:i/>
          <w:sz w:val="18"/>
        </w:rPr>
        <w:t>Gambar 4.2. Alur pengalaman belajar mahasiswa pada NutriSphere.</w:t>
      </w:r>
    </w:p>
    <w:tbl>
      <w:tblPr>
        <w:tblW w:type="auto" w:w="0"/>
        <w:jc w:val="center"/>
        <w:tblLayout w:type="fixed"/>
        <w:tblLook w:firstColumn="1" w:firstRow="1" w:lastColumn="0" w:lastRow="0" w:noHBand="0" w:noVBand="1" w:val="04A0"/>
      </w:tblPr>
      <w:tblGrid>
        <w:gridCol w:w="9360"/>
      </w:tblGrid>
      <w:tr>
        <w:trPr>
          <w:cantSplit/>
        </w:trPr>
        <w:tc>
          <w:tcPr>
            <w:tcW w:type="dxa" w:w="9547"/>
            <w:shd w:fill="EFF8F3"/>
            <w:tcMar>
              <w:top w:w="130" w:type="dxa"/>
              <w:start w:w="160" w:type="dxa"/>
              <w:bottom w:w="130" w:type="dxa"/>
              <w:end w:w="160" w:type="dxa"/>
            </w:tcMar>
          </w:tcPr>
          <w:p>
            <w:pPr>
              <w:spacing w:after="60"/>
            </w:pPr>
            <w:r/>
            <w:r>
              <w:rPr>
                <w:b/>
                <w:color w:val="0F5C4D"/>
                <w:sz w:val="21"/>
              </w:rPr>
              <w:t>Catatan penggunaan</w:t>
            </w:r>
          </w:p>
          <w:p>
            <w:pPr>
              <w:spacing w:after="0" w:line="278" w:lineRule="auto"/>
            </w:pPr>
            <w:r>
              <w:rPr>
                <w:sz w:val="20"/>
              </w:rPr>
              <w:t>Hasil antropometri, clinical scanner, dietary mockup, AI Summary, NutriBot, dan AR Patient digunakan sebagai sarana pembelajaran serta decision support edukatif. Fitur tersebut tidak menggantikan asesmen, diagnosis, atau keputusan klinis oleh tenaga profesional.</w:t>
            </w:r>
          </w:p>
        </w:tc>
      </w:tr>
    </w:tbl>
    <w:p>
      <w:pPr>
        <w:spacing w:after="0"/>
      </w:pPr>
    </w:p>
    <w:p>
      <w:pPr>
        <w:pStyle w:val="Heading2"/>
      </w:pPr>
      <w:r>
        <w:t>4.1.3 Pola Interaksi</w:t>
      </w:r>
    </w:p>
    <w:p>
      <w:r>
        <w:t>Interaksi utama menggunakan kartu, tab, slider, form, dan percakapan agar sesuai dengan karakter setiap tugas. Kartu dipakai untuk memilih pilar atau resource; tab memisahkan kelompok data pasien; form dipakai untuk input asesmen; dan chat digunakan untuk simulasi umpan balik klinis serta bantuan NutriBot. Seluruh initializer global dirancang tetap aman saat komponen tertentu tidak tersedia pada suatu halaman.</w:t>
      </w:r>
    </w:p>
    <w:p>
      <w:pPr>
        <w:spacing w:after="40"/>
        <w:jc w:val="center"/>
      </w:pPr>
      <w:r>
        <w:drawing>
          <wp:inline xmlns:a="http://schemas.openxmlformats.org/drawingml/2006/main" xmlns:pic="http://schemas.openxmlformats.org/drawingml/2006/picture">
            <wp:extent cx="5394960" cy="3036531"/>
            <wp:docPr id="2" name="Picture 2"/>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94960" cy="3036531"/>
                    </a:xfrm>
                    <a:prstGeom prst="rect"/>
                  </pic:spPr>
                </pic:pic>
              </a:graphicData>
            </a:graphic>
          </wp:inline>
        </w:drawing>
      </w:r>
    </w:p>
    <w:p>
      <w:pPr>
        <w:spacing w:before="40" w:after="160"/>
        <w:jc w:val="center"/>
      </w:pPr>
      <w:r>
        <w:rPr>
          <w:rFonts w:ascii="Times New Roman" w:hAnsi="Times New Roman"/>
          <w:i/>
          <w:sz w:val="18"/>
        </w:rPr>
        <w:t>Gambar 4.3. Tampilan login dan registrasi sebagai pintu masuk pengguna.</w:t>
      </w:r>
    </w:p>
    <w:p>
      <w:pPr>
        <w:pStyle w:val="Heading1"/>
      </w:pPr>
      <w:r>
        <w:t>4.2 Penjelasan Fitur</w:t>
      </w:r>
    </w:p>
    <w:p>
      <w:r>
        <w:t>NutriSphere memiliki lima pilar yang saling terhubung. NutriSolve mendukung latihan pengambilan keputusan, NutriBase menyediakan referensi, NutriPath mengarahkan proses belajar, NutriRead mendukung literasi ilmiah, dan NutriQuest mengukur perkembangan kompetensi. Penjelasan berikut menggambarkan fungsi yang telah tersedia pada prototipe web.</w:t>
      </w:r>
    </w:p>
    <w:tbl>
      <w:tblPr>
        <w:tblW w:type="auto" w:w="0"/>
        <w:jc w:val="center"/>
        <w:tblLayout w:type="fixed"/>
        <w:tblLook w:firstColumn="1" w:firstRow="1" w:lastColumn="0" w:lastRow="0" w:noHBand="0" w:noVBand="1" w:val="04A0"/>
      </w:tblPr>
      <w:tblGrid>
        <w:gridCol w:w="1944"/>
        <w:gridCol w:w="7416"/>
      </w:tblGrid>
      <w:tr>
        <w:trPr>
          <w:cantSplit/>
        </w:trPr>
        <w:tc>
          <w:tcPr>
            <w:tcW w:type="dxa" w:w="4773"/>
            <w:tcMar>
              <w:top w:w="90" w:type="dxa"/>
              <w:start w:w="110" w:type="dxa"/>
              <w:bottom w:w="90" w:type="dxa"/>
              <w:end w:w="110" w:type="dxa"/>
            </w:tcMar>
            <w:vAlign w:val="center"/>
            <w:shd w:fill="0F5C4D"/>
          </w:tcPr>
          <w:p>
            <w:pPr>
              <w:spacing w:after="0" w:line="269" w:lineRule="auto"/>
              <w:jc w:val="left"/>
            </w:pPr>
            <w:r/>
            <w:r>
              <w:rPr>
                <w:rFonts w:ascii="Times New Roman" w:hAnsi="Times New Roman"/>
                <w:b/>
                <w:color w:val="FFFFFF"/>
                <w:sz w:val="20"/>
              </w:rPr>
              <w:t>Pilar</w:t>
            </w:r>
          </w:p>
        </w:tc>
        <w:tc>
          <w:tcPr>
            <w:tcW w:type="dxa" w:w="4773"/>
            <w:tcMar>
              <w:top w:w="90" w:type="dxa"/>
              <w:start w:w="110" w:type="dxa"/>
              <w:bottom w:w="90" w:type="dxa"/>
              <w:end w:w="110" w:type="dxa"/>
            </w:tcMar>
            <w:vAlign w:val="center"/>
            <w:shd w:fill="0F5C4D"/>
          </w:tcPr>
          <w:p>
            <w:pPr>
              <w:spacing w:after="0" w:line="269" w:lineRule="auto"/>
              <w:jc w:val="left"/>
            </w:pPr>
            <w:r/>
            <w:r>
              <w:rPr>
                <w:rFonts w:ascii="Times New Roman" w:hAnsi="Times New Roman"/>
                <w:b/>
                <w:color w:val="FFFFFF"/>
                <w:sz w:val="20"/>
              </w:rPr>
              <w:t>Fungsi Utama</w:t>
            </w:r>
          </w:p>
        </w:tc>
      </w:tr>
      <w:tr>
        <w:trPr>
          <w:cantSplit/>
        </w:trPr>
        <w:tc>
          <w:tcPr>
            <w:tcW w:type="dxa" w:w="1944"/>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NutriSolve</w:t>
            </w:r>
          </w:p>
        </w:tc>
        <w:tc>
          <w:tcPr>
            <w:tcW w:type="dxa" w:w="7416"/>
            <w:tcMar>
              <w:top w:w="90" w:type="dxa"/>
              <w:start w:w="110" w:type="dxa"/>
              <w:bottom w:w="90" w:type="dxa"/>
              <w:end w:w="110" w:type="dxa"/>
            </w:tcMar>
            <w:vAlign w:val="center"/>
          </w:tcPr>
          <w:p>
            <w:pPr>
              <w:spacing w:after="0" w:line="269" w:lineRule="auto"/>
              <w:jc w:val="left"/>
            </w:pPr>
            <w:r/>
            <w:r>
              <w:rPr>
                <w:rFonts w:ascii="Times New Roman" w:hAnsi="Times New Roman"/>
                <w:b w:val="0"/>
                <w:sz w:val="20"/>
              </w:rPr>
              <w:t>Pusat decision support system untuk menghubungkan data antropometri, tanda klinis, pola makan, dan simulasi pasien 3D. Subfiturnya meliputi Anthropometry Assessment, Clinical Nutrition Screening, Dietary Pattern Assessment, dan AR Patient Visualization.</w:t>
            </w:r>
          </w:p>
        </w:tc>
      </w:tr>
      <w:tr>
        <w:trPr>
          <w:cantSplit/>
        </w:trPr>
        <w:tc>
          <w:tcPr>
            <w:tcW w:type="dxa" w:w="1944"/>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NutriBase</w:t>
            </w:r>
          </w:p>
        </w:tc>
        <w:tc>
          <w:tcPr>
            <w:tcW w:type="dxa" w:w="7416"/>
            <w:tcMar>
              <w:top w:w="90" w:type="dxa"/>
              <w:start w:w="110" w:type="dxa"/>
              <w:bottom w:w="90" w:type="dxa"/>
              <w:end w:w="110" w:type="dxa"/>
            </w:tcMar>
            <w:vAlign w:val="center"/>
          </w:tcPr>
          <w:p>
            <w:pPr>
              <w:spacing w:after="0" w:line="269" w:lineRule="auto"/>
              <w:jc w:val="left"/>
            </w:pPr>
            <w:r/>
            <w:r>
              <w:rPr>
                <w:rFonts w:ascii="Times New Roman" w:hAnsi="Times New Roman"/>
                <w:b w:val="0"/>
                <w:sz w:val="20"/>
              </w:rPr>
              <w:t>Katalog referensi gizi yang menyediakan pencarian dan filter untuk PDF lokal, regulasi, sumber Drive, serta resource yang masih berstatus placeholder. Pembukaan resource dapat dicatat sebagai event pembelajaran.</w:t>
            </w:r>
          </w:p>
        </w:tc>
      </w:tr>
      <w:tr>
        <w:trPr>
          <w:cantSplit/>
        </w:trPr>
        <w:tc>
          <w:tcPr>
            <w:tcW w:type="dxa" w:w="1944"/>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NutriPath</w:t>
            </w:r>
          </w:p>
        </w:tc>
        <w:tc>
          <w:tcPr>
            <w:tcW w:type="dxa" w:w="7416"/>
            <w:tcMar>
              <w:top w:w="90" w:type="dxa"/>
              <w:start w:w="110" w:type="dxa"/>
              <w:bottom w:w="90" w:type="dxa"/>
              <w:end w:w="110" w:type="dxa"/>
            </w:tcMar>
            <w:vAlign w:val="center"/>
          </w:tcPr>
          <w:p>
            <w:pPr>
              <w:spacing w:after="0" w:line="269" w:lineRule="auto"/>
              <w:jc w:val="left"/>
            </w:pPr>
            <w:r/>
            <w:r>
              <w:rPr>
                <w:rFonts w:ascii="Times New Roman" w:hAnsi="Times New Roman"/>
                <w:b w:val="0"/>
                <w:sz w:val="20"/>
              </w:rPr>
              <w:t>Hub modul pembelajaran berupa presentasi, video, dan kasus gizi. Klik pada modul mencatat status awal belajar dan persentase progress sebagai indikator aktivitas, bukan bukti bahwa materi telah diselesaikan.</w:t>
            </w:r>
          </w:p>
        </w:tc>
      </w:tr>
      <w:tr>
        <w:trPr>
          <w:cantSplit/>
        </w:trPr>
        <w:tc>
          <w:tcPr>
            <w:tcW w:type="dxa" w:w="1944"/>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NutriRead</w:t>
            </w:r>
          </w:p>
        </w:tc>
        <w:tc>
          <w:tcPr>
            <w:tcW w:type="dxa" w:w="7416"/>
            <w:tcMar>
              <w:top w:w="90" w:type="dxa"/>
              <w:start w:w="110" w:type="dxa"/>
              <w:bottom w:w="90" w:type="dxa"/>
              <w:end w:w="110" w:type="dxa"/>
            </w:tcMar>
            <w:vAlign w:val="center"/>
          </w:tcPr>
          <w:p>
            <w:pPr>
              <w:spacing w:after="0" w:line="269" w:lineRule="auto"/>
              <w:jc w:val="left"/>
            </w:pPr>
            <w:r/>
            <w:r>
              <w:rPr>
                <w:rFonts w:ascii="Times New Roman" w:hAnsi="Times New Roman"/>
                <w:b w:val="0"/>
                <w:sz w:val="20"/>
              </w:rPr>
              <w:t>Pustaka jurnal dan e-book eksternal yang dilengkapi AI Summary. Teks jurnal dapat diringkas melalui backend Gemini; apabila backend tidak tersedia, sistem memberi respons simulasi berbasis kata kunci dan menandainya sebagai local simulation.</w:t>
            </w:r>
          </w:p>
        </w:tc>
      </w:tr>
      <w:tr>
        <w:trPr>
          <w:cantSplit/>
        </w:trPr>
        <w:tc>
          <w:tcPr>
            <w:tcW w:type="dxa" w:w="1944"/>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NutriQuest</w:t>
            </w:r>
          </w:p>
        </w:tc>
        <w:tc>
          <w:tcPr>
            <w:tcW w:type="dxa" w:w="7416"/>
            <w:tcMar>
              <w:top w:w="90" w:type="dxa"/>
              <w:start w:w="110" w:type="dxa"/>
              <w:bottom w:w="90" w:type="dxa"/>
              <w:end w:w="110" w:type="dxa"/>
            </w:tcMar>
            <w:vAlign w:val="center"/>
          </w:tcPr>
          <w:p>
            <w:pPr>
              <w:spacing w:after="0" w:line="269" w:lineRule="auto"/>
              <w:jc w:val="left"/>
            </w:pPr>
            <w:r/>
            <w:r>
              <w:rPr>
                <w:rFonts w:ascii="Times New Roman" w:hAnsi="Times New Roman"/>
                <w:b w:val="0"/>
                <w:sz w:val="20"/>
              </w:rPr>
              <w:t>Pusat evaluasi kompetensi yang menghubungkan pretest, posttest, asesmen kasus AR, tracking progress, feature events, dan rekap dashboard dosen.</w:t>
            </w:r>
          </w:p>
        </w:tc>
      </w:tr>
    </w:tbl>
    <w:p>
      <w:pPr>
        <w:spacing w:before="40" w:after="160"/>
        <w:jc w:val="center"/>
      </w:pPr>
      <w:r>
        <w:rPr>
          <w:rFonts w:ascii="Times New Roman" w:hAnsi="Times New Roman"/>
          <w:i/>
          <w:sz w:val="18"/>
        </w:rPr>
        <w:t>Tabel 4.2. Ringkasan lima pilar NutriSphere.</w:t>
      </w:r>
    </w:p>
    <w:p>
      <w:pPr>
        <w:pStyle w:val="Heading2"/>
      </w:pPr>
      <w:r>
        <w:t>4.2.1 NutriSolve - Decision Support System</w:t>
      </w:r>
    </w:p>
    <w:p>
      <w:r>
        <w:t>NutriSolve dirancang sebagai ruang latihan clinical reasoning. Pada Anthropometry Assessment, mahasiswa dapat mempelajari klasifikasi Z-score untuk balita dan remaja, perhitungan BMI serta rasio lingkar pinggang-panggul pada dewasa, dan estimasi antropometri pasien rumah sakit. Seluruh perhitungan berjalan di sisi klien sehingga hasil muncul secara langsung setelah input berubah.</w:t>
      </w:r>
    </w:p>
    <w:p>
      <w:pPr>
        <w:spacing w:after="40"/>
        <w:jc w:val="center"/>
      </w:pPr>
      <w:r>
        <w:drawing>
          <wp:inline xmlns:a="http://schemas.openxmlformats.org/drawingml/2006/main" xmlns:pic="http://schemas.openxmlformats.org/drawingml/2006/picture">
            <wp:extent cx="5715000" cy="3216664"/>
            <wp:docPr id="3" name="Picture 3"/>
            <wp:cNvGraphicFramePr>
              <a:graphicFrameLocks noChangeAspect="1"/>
            </wp:cNvGraphicFramePr>
            <a:graphic>
              <a:graphicData uri="http://schemas.openxmlformats.org/drawingml/2006/picture">
                <pic:pic>
                  <pic:nvPicPr>
                    <pic:cNvPr id="0" name="04-antropometri.png"/>
                    <pic:cNvPicPr/>
                  </pic:nvPicPr>
                  <pic:blipFill>
                    <a:blip r:embed="rId11"/>
                    <a:stretch>
                      <a:fillRect/>
                    </a:stretch>
                  </pic:blipFill>
                  <pic:spPr>
                    <a:xfrm>
                      <a:off x="0" y="0"/>
                      <a:ext cx="5715000" cy="3216664"/>
                    </a:xfrm>
                    <a:prstGeom prst="rect"/>
                  </pic:spPr>
                </pic:pic>
              </a:graphicData>
            </a:graphic>
          </wp:inline>
        </w:drawing>
      </w:r>
    </w:p>
    <w:p>
      <w:pPr>
        <w:spacing w:before="40" w:after="160"/>
        <w:jc w:val="center"/>
      </w:pPr>
      <w:r>
        <w:rPr>
          <w:rFonts w:ascii="Times New Roman" w:hAnsi="Times New Roman"/>
          <w:i/>
          <w:sz w:val="18"/>
        </w:rPr>
        <w:t>Gambar 4.4. Antarmuka Anthropometry Assessment pada NutriSolve.</w:t>
      </w:r>
    </w:p>
    <w:p>
      <w:r>
        <w:t>Clinical Nutrition Screening memakai kamera untuk mengambil frame dan menampilkan hasil simulasi sesuai skenario anemia atau stunting. Fitur ini bukan inferensi computer vision. Dietary Pattern Assessment saat ini berupa mockup edukatif, sedangkan AR Patient Visualization menampilkan model pasien 3D interaktif dan kasus bertingkat dari balita hingga lansia.</w:t>
      </w:r>
    </w:p>
    <w:p>
      <w:pPr>
        <w:spacing w:after="40"/>
        <w:jc w:val="center"/>
      </w:pPr>
      <w:r>
        <w:drawing>
          <wp:inline xmlns:a="http://schemas.openxmlformats.org/drawingml/2006/main" xmlns:pic="http://schemas.openxmlformats.org/drawingml/2006/picture">
            <wp:extent cx="5715000" cy="3216664"/>
            <wp:docPr id="4" name="Picture 4"/>
            <wp:cNvGraphicFramePr>
              <a:graphicFrameLocks noChangeAspect="1"/>
            </wp:cNvGraphicFramePr>
            <a:graphic>
              <a:graphicData uri="http://schemas.openxmlformats.org/drawingml/2006/picture">
                <pic:pic>
                  <pic:nvPicPr>
                    <pic:cNvPr id="0" name="05-ar-patient.png"/>
                    <pic:cNvPicPr/>
                  </pic:nvPicPr>
                  <pic:blipFill>
                    <a:blip r:embed="rId12"/>
                    <a:stretch>
                      <a:fillRect/>
                    </a:stretch>
                  </pic:blipFill>
                  <pic:spPr>
                    <a:xfrm>
                      <a:off x="0" y="0"/>
                      <a:ext cx="5715000" cy="3216664"/>
                    </a:xfrm>
                    <a:prstGeom prst="rect"/>
                  </pic:spPr>
                </pic:pic>
              </a:graphicData>
            </a:graphic>
          </wp:inline>
        </w:drawing>
      </w:r>
    </w:p>
    <w:p>
      <w:pPr>
        <w:spacing w:before="40" w:after="160"/>
        <w:jc w:val="center"/>
      </w:pPr>
      <w:r>
        <w:rPr>
          <w:rFonts w:ascii="Times New Roman" w:hAnsi="Times New Roman"/>
          <w:i/>
          <w:sz w:val="18"/>
        </w:rPr>
        <w:t>Gambar 4.5. Peta progres dan pemilihan level pada AR Patient Visualization.</w:t>
      </w:r>
    </w:p>
    <w:p>
      <w:pPr>
        <w:pStyle w:val="ListBullet"/>
        <w:spacing w:after="80" w:line="283" w:lineRule="auto"/>
        <w:ind w:left="374" w:hanging="230"/>
      </w:pPr>
      <w:r>
        <w:t>Model 3D dapat diputar dan diperbesar melalui kontrol interaktif.</w:t>
      </w:r>
    </w:p>
    <w:p>
      <w:pPr>
        <w:pStyle w:val="ListBullet"/>
        <w:spacing w:after="80" w:line="283" w:lineRule="auto"/>
        <w:ind w:left="374" w:hanging="230"/>
      </w:pPr>
      <w:r>
        <w:t>Kasus menampilkan profil, antropometri, pemeriksaan klinis, dan dietary recall.</w:t>
      </w:r>
    </w:p>
    <w:p>
      <w:pPr>
        <w:pStyle w:val="ListBullet"/>
        <w:spacing w:after="80" w:line="283" w:lineRule="auto"/>
        <w:ind w:left="374" w:hanging="230"/>
      </w:pPr>
      <w:r>
        <w:t>AI Clinical Supervisor memberi umpan balik dialogis terhadap diagnosis dan intervensi yang ditulis mahasiswa.</w:t>
      </w:r>
    </w:p>
    <w:p>
      <w:pPr>
        <w:pStyle w:val="ListBullet"/>
        <w:spacing w:after="80" w:line="283" w:lineRule="auto"/>
        <w:ind w:left="374" w:hanging="230"/>
      </w:pPr>
      <w:r>
        <w:t>Penyelesaian kasus memperbarui streak, level, fase, serta riwayat attempt apabila pengguna terhubung ke Supabase.</w:t>
      </w:r>
    </w:p>
    <w:p>
      <w:pPr>
        <w:pStyle w:val="Heading2"/>
      </w:pPr>
      <w:r>
        <w:t>4.2.2 NutriBase - Katalog Referensi</w:t>
      </w:r>
    </w:p>
    <w:p>
      <w:r>
        <w:t>NutriBase memusatkan sumber rujukan seperti TKPI, AKG, regulasi BPOM, daftar konversi penyerapan minyak, buku foto makanan, serta PAGT dan rumus gizi. Pencarian dilakukan berdasarkan judul, sedangkan filter membedakan PDF lokal, tautan Drive, dan resource placeholder. Desain kartu memuat identitas resource, kategori, dan tindakan buka agar pengguna dapat menemukan referensi secara cepat.</w:t>
      </w:r>
    </w:p>
    <w:p>
      <w:pPr>
        <w:pStyle w:val="Heading2"/>
      </w:pPr>
      <w:r>
        <w:t>4.2.3 NutriPath - Jalur Pembelajaran</w:t>
      </w:r>
    </w:p>
    <w:p>
      <w:r>
        <w:t>NutriPath menyediakan akses terstruktur ke materi presentasi, video, dan studi kasus. Setiap kartu dilengkapi metadata tracking yang dapat mengubah status learning_progress menjadi in_progress dengan persentase awal. Mekanisme ini membantu dosen melihat jejak keterlibatan, tetapi tidak mengklaim bahwa materi telah benar-benar ditonton atau diselesaikan.</w:t>
      </w:r>
    </w:p>
    <w:p>
      <w:pPr>
        <w:pStyle w:val="Heading2"/>
      </w:pPr>
      <w:r>
        <w:t>4.2.4 NutriRead - Literasi Ilmiah dan AI Summary</w:t>
      </w:r>
    </w:p>
    <w:p>
      <w:r>
        <w:t>NutriRead menjadi pintu masuk ke jurnal, e-book, dan alat AI Summary. Pengguna menempelkan teks jurnal, kemudian sistem melakukan health check ke backend dan mengirim teks untuk diringkas. Ringkasan diarahkan untuk memuat gambaran eksekutif, temuan penting, serta evaluasi metodologi dan relevansi dalam Bahasa Indonesia. Jika layanan AI tidak aktif, antarmuka tetap menyediakan fallback simulasi sehingga alur demonstrasi dapat dilanjutkan dengan label mode yang sesuai.</w:t>
      </w:r>
    </w:p>
    <w:p>
      <w:pPr>
        <w:spacing w:after="40"/>
        <w:jc w:val="center"/>
      </w:pPr>
      <w:r>
        <w:drawing>
          <wp:inline xmlns:a="http://schemas.openxmlformats.org/drawingml/2006/main" xmlns:pic="http://schemas.openxmlformats.org/drawingml/2006/picture">
            <wp:extent cx="5715000" cy="3216664"/>
            <wp:docPr id="5" name="Picture 5"/>
            <wp:cNvGraphicFramePr>
              <a:graphicFrameLocks noChangeAspect="1"/>
            </wp:cNvGraphicFramePr>
            <a:graphic>
              <a:graphicData uri="http://schemas.openxmlformats.org/drawingml/2006/picture">
                <pic:pic>
                  <pic:nvPicPr>
                    <pic:cNvPr id="0" name="06-nutriread-ai.png"/>
                    <pic:cNvPicPr/>
                  </pic:nvPicPr>
                  <pic:blipFill>
                    <a:blip r:embed="rId13"/>
                    <a:stretch>
                      <a:fillRect/>
                    </a:stretch>
                  </pic:blipFill>
                  <pic:spPr>
                    <a:xfrm>
                      <a:off x="0" y="0"/>
                      <a:ext cx="5715000" cy="3216664"/>
                    </a:xfrm>
                    <a:prstGeom prst="rect"/>
                  </pic:spPr>
                </pic:pic>
              </a:graphicData>
            </a:graphic>
          </wp:inline>
        </w:drawing>
      </w:r>
    </w:p>
    <w:p>
      <w:pPr>
        <w:spacing w:before="40" w:after="160"/>
        <w:jc w:val="center"/>
      </w:pPr>
      <w:r>
        <w:rPr>
          <w:rFonts w:ascii="Times New Roman" w:hAnsi="Times New Roman"/>
          <w:i/>
          <w:sz w:val="18"/>
        </w:rPr>
        <w:t>Gambar 4.6. Antarmuka AI Summary pada pilar NutriRead.</w:t>
      </w:r>
    </w:p>
    <w:p>
      <w:pPr>
        <w:pStyle w:val="Heading2"/>
      </w:pPr>
      <w:r>
        <w:t>4.2.5 NutriQuest - Evaluasi Kompetensi</w:t>
      </w:r>
    </w:p>
    <w:p>
      <w:r>
        <w:t>NutriQuest menghubungkan evaluasi awal dan akhir dengan aktivitas belajar. Pretest dan posttest masing-masing terdiri atas 25 soal pilihan ganda dari kategori PSG, GDDK, MIPMG, dan MAKRO. Jawaban wajib dipilih sebelum melanjutkan, lalu skor, persentase, waktu, dan detail jawaban disimpan. Satu pengguna hanya memiliki satu attempt untuk setiap jenis tes.</w:t>
      </w:r>
    </w:p>
    <w:p>
      <w:pPr>
        <w:spacing w:after="40"/>
        <w:jc w:val="center"/>
      </w:pPr>
      <w:r>
        <w:drawing>
          <wp:inline xmlns:a="http://schemas.openxmlformats.org/drawingml/2006/main" xmlns:pic="http://schemas.openxmlformats.org/drawingml/2006/picture">
            <wp:extent cx="5715000" cy="3216664"/>
            <wp:docPr id="6" name="Picture 6"/>
            <wp:cNvGraphicFramePr>
              <a:graphicFrameLocks noChangeAspect="1"/>
            </wp:cNvGraphicFramePr>
            <a:graphic>
              <a:graphicData uri="http://schemas.openxmlformats.org/drawingml/2006/picture">
                <pic:pic>
                  <pic:nvPicPr>
                    <pic:cNvPr id="0" name="07-nutriquest.png"/>
                    <pic:cNvPicPr/>
                  </pic:nvPicPr>
                  <pic:blipFill>
                    <a:blip r:embed="rId14"/>
                    <a:stretch>
                      <a:fillRect/>
                    </a:stretch>
                  </pic:blipFill>
                  <pic:spPr>
                    <a:xfrm>
                      <a:off x="0" y="0"/>
                      <a:ext cx="5715000" cy="3216664"/>
                    </a:xfrm>
                    <a:prstGeom prst="rect"/>
                  </pic:spPr>
                </pic:pic>
              </a:graphicData>
            </a:graphic>
          </wp:inline>
        </w:drawing>
      </w:r>
    </w:p>
    <w:p>
      <w:pPr>
        <w:spacing w:before="40" w:after="160"/>
        <w:jc w:val="center"/>
      </w:pPr>
      <w:r>
        <w:rPr>
          <w:rFonts w:ascii="Times New Roman" w:hAnsi="Times New Roman"/>
          <w:i/>
          <w:sz w:val="18"/>
        </w:rPr>
        <w:t>Gambar 4.7. Halaman pusat evaluasi kompetensi NutriQuest.</w:t>
      </w:r>
    </w:p>
    <w:p>
      <w:r>
        <w:t>Dashboard dosen menyajikan identitas mahasiswa, nilai dan waktu pretest-posttest, improvement, jumlah kasus selesai, modul yang dipelajari, event fitur, dan status belajar. Pada prototipe, akses admin masih memakai password demo di sisi browser dan RPC dengan secret statis; mekanisme tersebut harus diganti dengan role/claim dan otorisasi server-side sebelum penggunaan produksi.</w:t>
      </w:r>
    </w:p>
    <w:p>
      <w:pPr>
        <w:pStyle w:val="Heading2"/>
      </w:pPr>
      <w:r>
        <w:t>4.2.6 Fitur Pendukung</w:t>
      </w:r>
    </w:p>
    <w:tbl>
      <w:tblPr>
        <w:tblW w:type="auto" w:w="0"/>
        <w:jc w:val="center"/>
        <w:tblLayout w:type="fixed"/>
        <w:tblLook w:firstColumn="1" w:firstRow="1" w:lastColumn="0" w:lastRow="0" w:noHBand="0" w:noVBand="1" w:val="04A0"/>
      </w:tblPr>
      <w:tblGrid>
        <w:gridCol w:w="2592"/>
        <w:gridCol w:w="6768"/>
      </w:tblGrid>
      <w:tr>
        <w:trPr>
          <w:cantSplit/>
        </w:trPr>
        <w:tc>
          <w:tcPr>
            <w:tcW w:type="dxa" w:w="4773"/>
            <w:tcMar>
              <w:top w:w="90" w:type="dxa"/>
              <w:start w:w="110" w:type="dxa"/>
              <w:bottom w:w="90" w:type="dxa"/>
              <w:end w:w="110" w:type="dxa"/>
            </w:tcMar>
            <w:vAlign w:val="center"/>
            <w:shd w:fill="0F5C4D"/>
          </w:tcPr>
          <w:p>
            <w:pPr>
              <w:spacing w:after="0" w:line="269" w:lineRule="auto"/>
              <w:jc w:val="left"/>
            </w:pPr>
            <w:r/>
            <w:r>
              <w:rPr>
                <w:rFonts w:ascii="Times New Roman" w:hAnsi="Times New Roman"/>
                <w:b/>
                <w:color w:val="FFFFFF"/>
                <w:sz w:val="20"/>
              </w:rPr>
              <w:t>Fitur</w:t>
            </w:r>
          </w:p>
        </w:tc>
        <w:tc>
          <w:tcPr>
            <w:tcW w:type="dxa" w:w="4773"/>
            <w:tcMar>
              <w:top w:w="90" w:type="dxa"/>
              <w:start w:w="110" w:type="dxa"/>
              <w:bottom w:w="90" w:type="dxa"/>
              <w:end w:w="110" w:type="dxa"/>
            </w:tcMar>
            <w:vAlign w:val="center"/>
            <w:shd w:fill="0F5C4D"/>
          </w:tcPr>
          <w:p>
            <w:pPr>
              <w:spacing w:after="0" w:line="269" w:lineRule="auto"/>
              <w:jc w:val="left"/>
            </w:pPr>
            <w:r/>
            <w:r>
              <w:rPr>
                <w:rFonts w:ascii="Times New Roman" w:hAnsi="Times New Roman"/>
                <w:b/>
                <w:color w:val="FFFFFF"/>
                <w:sz w:val="20"/>
              </w:rPr>
              <w:t>Penjelasan</w:t>
            </w:r>
          </w:p>
        </w:tc>
      </w:tr>
      <w:tr>
        <w:trPr>
          <w:cantSplit/>
        </w:trPr>
        <w:tc>
          <w:tcPr>
            <w:tcW w:type="dxa" w:w="2592"/>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Autentikasi dan profil</w:t>
            </w:r>
          </w:p>
        </w:tc>
        <w:tc>
          <w:tcPr>
            <w:tcW w:type="dxa" w:w="6768"/>
            <w:tcMar>
              <w:top w:w="90" w:type="dxa"/>
              <w:start w:w="110" w:type="dxa"/>
              <w:bottom w:w="90" w:type="dxa"/>
              <w:end w:w="110" w:type="dxa"/>
            </w:tcMar>
            <w:vAlign w:val="center"/>
          </w:tcPr>
          <w:p>
            <w:pPr>
              <w:spacing w:after="0" w:line="269" w:lineRule="auto"/>
              <w:jc w:val="left"/>
            </w:pPr>
            <w:r/>
            <w:r>
              <w:rPr>
                <w:rFonts w:ascii="Times New Roman" w:hAnsi="Times New Roman"/>
                <w:b w:val="0"/>
                <w:sz w:val="20"/>
              </w:rPr>
              <w:t>Login email/password, registrasi nama lengkap dan NIM, session Supabase, serta mock user untuk pengembangan lokal.</w:t>
            </w:r>
          </w:p>
        </w:tc>
      </w:tr>
      <w:tr>
        <w:trPr>
          <w:cantSplit/>
        </w:trPr>
        <w:tc>
          <w:tcPr>
            <w:tcW w:type="dxa" w:w="2592"/>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Pretest gate</w:t>
            </w:r>
          </w:p>
        </w:tc>
        <w:tc>
          <w:tcPr>
            <w:tcW w:type="dxa" w:w="6768"/>
            <w:tcMar>
              <w:top w:w="90" w:type="dxa"/>
              <w:start w:w="110" w:type="dxa"/>
              <w:bottom w:w="90" w:type="dxa"/>
              <w:end w:w="110" w:type="dxa"/>
            </w:tcMar>
            <w:vAlign w:val="center"/>
          </w:tcPr>
          <w:p>
            <w:pPr>
              <w:spacing w:after="0" w:line="269" w:lineRule="auto"/>
              <w:jc w:val="left"/>
            </w:pPr>
            <w:r/>
            <w:r>
              <w:rPr>
                <w:rFonts w:ascii="Times New Roman" w:hAnsi="Times New Roman"/>
                <w:b w:val="0"/>
                <w:sz w:val="20"/>
              </w:rPr>
              <w:t>Mengunci fitur inti sampai pengguna login dan menyelesaikan pretest, sehingga pembelajaran memiliki baseline yang terukur.</w:t>
            </w:r>
          </w:p>
        </w:tc>
      </w:tr>
      <w:tr>
        <w:trPr>
          <w:cantSplit/>
        </w:trPr>
        <w:tc>
          <w:tcPr>
            <w:tcW w:type="dxa" w:w="2592"/>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NutriBot</w:t>
            </w:r>
          </w:p>
        </w:tc>
        <w:tc>
          <w:tcPr>
            <w:tcW w:type="dxa" w:w="6768"/>
            <w:tcMar>
              <w:top w:w="90" w:type="dxa"/>
              <w:start w:w="110" w:type="dxa"/>
              <w:bottom w:w="90" w:type="dxa"/>
              <w:end w:w="110" w:type="dxa"/>
            </w:tcMar>
            <w:vAlign w:val="center"/>
          </w:tcPr>
          <w:p>
            <w:pPr>
              <w:spacing w:after="0" w:line="269" w:lineRule="auto"/>
              <w:jc w:val="left"/>
            </w:pPr>
            <w:r/>
            <w:r>
              <w:rPr>
                <w:rFonts w:ascii="Times New Roman" w:hAnsi="Times New Roman"/>
                <w:b w:val="0"/>
                <w:sz w:val="20"/>
              </w:rPr>
              <w:t>Widget bantuan global yang menjawab pertanyaan dasar gizi dan navigasi fitur melalui backend chat atau fallback offline.</w:t>
            </w:r>
          </w:p>
        </w:tc>
      </w:tr>
      <w:tr>
        <w:trPr>
          <w:cantSplit/>
        </w:trPr>
        <w:tc>
          <w:tcPr>
            <w:tcW w:type="dxa" w:w="2592"/>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Tracking</w:t>
            </w:r>
          </w:p>
        </w:tc>
        <w:tc>
          <w:tcPr>
            <w:tcW w:type="dxa" w:w="6768"/>
            <w:tcMar>
              <w:top w:w="90" w:type="dxa"/>
              <w:start w:w="110" w:type="dxa"/>
              <w:bottom w:w="90" w:type="dxa"/>
              <w:end w:w="110" w:type="dxa"/>
            </w:tcMar>
            <w:vAlign w:val="center"/>
          </w:tcPr>
          <w:p>
            <w:pPr>
              <w:spacing w:after="0" w:line="269" w:lineRule="auto"/>
              <w:jc w:val="left"/>
            </w:pPr>
            <w:r/>
            <w:r>
              <w:rPr>
                <w:rFonts w:ascii="Times New Roman" w:hAnsi="Times New Roman"/>
                <w:b w:val="0"/>
                <w:sz w:val="20"/>
              </w:rPr>
              <w:t>Mencatat feature event, pembukaan resource, progress modul, hasil tes, dan attempt kasus secara best-effort.</w:t>
            </w:r>
          </w:p>
        </w:tc>
      </w:tr>
      <w:tr>
        <w:trPr>
          <w:cantSplit/>
        </w:trPr>
        <w:tc>
          <w:tcPr>
            <w:tcW w:type="dxa" w:w="2592"/>
            <w:tcMar>
              <w:top w:w="90" w:type="dxa"/>
              <w:start w:w="110" w:type="dxa"/>
              <w:bottom w:w="90" w:type="dxa"/>
              <w:end w:w="110" w:type="dxa"/>
            </w:tcMar>
            <w:vAlign w:val="center"/>
            <w:shd w:fill="E7F3EC"/>
          </w:tcPr>
          <w:p>
            <w:pPr>
              <w:spacing w:after="0" w:line="269" w:lineRule="auto"/>
              <w:jc w:val="left"/>
            </w:pPr>
            <w:r/>
            <w:r>
              <w:rPr>
                <w:rFonts w:ascii="Times New Roman" w:hAnsi="Times New Roman"/>
                <w:b/>
                <w:color w:val="17352F"/>
                <w:sz w:val="20"/>
              </w:rPr>
              <w:t>Kalkulator makronutrisi</w:t>
            </w:r>
          </w:p>
        </w:tc>
        <w:tc>
          <w:tcPr>
            <w:tcW w:type="dxa" w:w="6768"/>
            <w:tcMar>
              <w:top w:w="90" w:type="dxa"/>
              <w:start w:w="110" w:type="dxa"/>
              <w:bottom w:w="90" w:type="dxa"/>
              <w:end w:w="110" w:type="dxa"/>
            </w:tcMar>
            <w:vAlign w:val="center"/>
          </w:tcPr>
          <w:p>
            <w:pPr>
              <w:spacing w:after="0" w:line="269" w:lineRule="auto"/>
              <w:jc w:val="left"/>
            </w:pPr>
            <w:r/>
            <w:r>
              <w:rPr>
                <w:rFonts w:ascii="Times New Roman" w:hAnsi="Times New Roman"/>
                <w:b w:val="0"/>
                <w:sz w:val="20"/>
              </w:rPr>
              <w:t>Slider interaktif pada landing page untuk mengeksplorasi konversi distribusi energi menjadi gram karbohidrat, protein, dan lemak.</w:t>
            </w:r>
          </w:p>
        </w:tc>
      </w:tr>
    </w:tbl>
    <w:p>
      <w:pPr>
        <w:spacing w:before="40" w:after="160"/>
        <w:jc w:val="center"/>
      </w:pPr>
      <w:r>
        <w:rPr>
          <w:rFonts w:ascii="Times New Roman" w:hAnsi="Times New Roman"/>
          <w:i/>
          <w:sz w:val="18"/>
        </w:rPr>
        <w:t>Tabel 4.3. Fitur pendukung ekosistem NutriSphere.</w:t>
      </w:r>
    </w:p>
    <w:tbl>
      <w:tblPr>
        <w:tblW w:type="auto" w:w="0"/>
        <w:jc w:val="center"/>
        <w:tblLayout w:type="fixed"/>
        <w:tblLook w:firstColumn="1" w:firstRow="1" w:lastColumn="0" w:lastRow="0" w:noHBand="0" w:noVBand="1" w:val="04A0"/>
      </w:tblPr>
      <w:tblGrid>
        <w:gridCol w:w="9360"/>
      </w:tblGrid>
      <w:tr>
        <w:trPr>
          <w:cantSplit/>
        </w:trPr>
        <w:tc>
          <w:tcPr>
            <w:tcW w:type="dxa" w:w="9547"/>
            <w:shd w:fill="EFF8F3"/>
            <w:tcMar>
              <w:top w:w="130" w:type="dxa"/>
              <w:start w:w="160" w:type="dxa"/>
              <w:bottom w:w="130" w:type="dxa"/>
              <w:end w:w="160" w:type="dxa"/>
            </w:tcMar>
          </w:tcPr>
          <w:p>
            <w:pPr>
              <w:spacing w:after="60"/>
            </w:pPr>
            <w:r/>
            <w:r>
              <w:rPr>
                <w:b/>
                <w:color w:val="0F5C4D"/>
                <w:sz w:val="21"/>
              </w:rPr>
              <w:t>Kesimpulan desain</w:t>
            </w:r>
          </w:p>
          <w:p>
            <w:pPr>
              <w:spacing w:after="0" w:line="278" w:lineRule="auto"/>
            </w:pPr>
            <w:r>
              <w:rPr>
                <w:sz w:val="20"/>
              </w:rPr>
              <w:t>NutriSphere membentuk satu siklus pembelajaran: mengukur baseline, menyediakan sumber belajar, melatih penalaran melalui DSS dan kasus, lalu merekam perkembangan kompetensi. Desain modular memungkinkan setiap pilar dikembangkan secara bertahap tanpa mengubah pola navigasi utama yang telah dipahami pengguna.</w:t>
            </w:r>
          </w:p>
        </w:tc>
      </w:tr>
    </w:tbl>
    <w:p>
      <w:pPr>
        <w:spacing w:after="0"/>
      </w:pPr>
    </w:p>
    <w:sectPr w:rsidR="00FC693F" w:rsidRPr="0006063C" w:rsidSect="00034616">
      <w:headerReference w:type="default" r:id="rId15"/>
      <w:footerReference w:type="default" r:id="rId16"/>
      <w:pgSz w:w="11909" w:h="16834"/>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6"/>
        <w:sz w:val="16"/>
      </w:rPr>
      <w:t>NutriSphere - Ekosistem Pembelajaran Gizi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B66"/>
        <w:sz w:val="16"/>
      </w:rPr>
      <w:t>NUTRISPHERE | DESAIN PRODUK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735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7352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5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