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ind w:firstLine="567"/>
        <w:jc w:val="both"/>
      </w:pPr>
      <w:r>
        <w:t xml:space="preserve">EXCELENTÍSSIMO(A) SENHOR(A) DOUTOR(A) JUIZ(A) FEDERAL DA 10ª VARA FEDERAL DO JUIZADO ESPECIAL FEDERAL DA SUBSEÇÃO JUDICIÁRIA DE SÃO PAULO - SP</w:t>
      </w:r>
    </w:p>
    <w:p>
      <w:pPr>
        <w:spacing w:after="0"/>
        <w:jc w:val="right"/>
      </w:pPr>
      <w:r>
        <w:t xml:space="preserve">Processo nº 5001234-56.2024.4.03.6183</w:t>
      </w:r>
    </w:p>
    <w:p>
      <w:pPr>
        <w:spacing w:after="0"/>
        <w:jc w:val="right"/>
      </w:pPr>
      <w:r>
        <w:t xml:space="preserve">NUP: 01032.456789/2024-11</w:t>
      </w:r>
    </w:p>
    <w:p>
      <w:pPr>
        <w:spacing w:after="0"/>
        <w:jc w:val="right"/>
      </w:pPr>
      <w:r>
        <w:t xml:space="preserve">NB: 46/123.456.789-0</w:t>
      </w:r>
    </w:p>
    <w:p>
      <w:pPr>
        <w:spacing w:after="360"/>
        <w:jc w:val="right"/>
      </w:pPr>
      <w:r>
        <w:t xml:space="preserve">DER: 14/02/2022</w:t>
      </w:r>
    </w:p>
    <w:p>
      <w:pPr>
        <w:spacing w:after="120" w:line="276"/>
        <w:ind w:firstLine="567"/>
        <w:jc w:val="both"/>
      </w:pPr>
      <w:r>
        <w:t xml:space="preserve">O </w:t>
      </w:r>
      <w:r>
        <w:rPr>
          <w:b/>
          <w:bCs/>
        </w:rPr>
        <w:t xml:space="preserve">INSTITUTO NACIONAL DO SEGURO SOCIAL - INSS</w:t>
      </w:r>
      <w:r>
        <w:t xml:space="preserve">, autarquia federal já qualificada nos autos do processo em epígrafe, que lhe move </w:t>
      </w:r>
      <w:r>
        <w:rPr>
          <w:b/>
          <w:bCs/>
        </w:rPr>
        <w:t xml:space="preserve">JOÃO DA SILVA SANTOS</w:t>
      </w:r>
      <w:r>
        <w:t xml:space="preserve">, vem, respeitosamente, à presença de Vossa Excelência, por seu procurador federal ao final assinado, apresentar</w:t>
      </w:r>
    </w:p>
    <w:p>
      <w:pPr>
        <w:spacing w:after="240" w:before="240"/>
        <w:jc w:val="center"/>
      </w:pPr>
      <w:r>
        <w:rPr>
          <w:b/>
          <w:bCs/>
          <w:caps/>
        </w:rPr>
        <w:t xml:space="preserve">Contestação</w:t>
      </w:r>
    </w:p>
    <w:p>
      <w:pPr>
        <w:spacing w:after="120" w:line="276"/>
        <w:ind w:firstLine="567"/>
        <w:jc w:val="both"/>
      </w:pPr>
      <w:r>
        <w:t xml:space="preserve">pelos fatos e fundamentos jurídicos a seguir expostos.</w:t>
      </w:r>
    </w:p>
    <w:p>
      <w:pPr>
        <w:spacing w:after="100" w:before="200"/>
        <w:jc w:val="left"/>
      </w:pPr>
      <w:r>
        <w:rPr>
          <w:b/>
          <w:bCs/>
          <w:caps/>
        </w:rPr>
        <w:t xml:space="preserve">I - Síntese da Demanda</w:t>
      </w:r>
    </w:p>
    <w:p>
      <w:pPr>
        <w:spacing w:after="120" w:line="276"/>
        <w:ind w:firstLine="567"/>
        <w:jc w:val="both"/>
      </w:pPr>
      <w:r>
        <w:t xml:space="preserve">Trata-se de ação em que pleiteia a parte autora a concessão do benefício de aposentadoria especial após a conversão de tempo especial em comum, alegando exposição a agentes nocivos nos períodos de 06/03/1997 a 31/12/2002 e de 01/01/2003 a 18/11/2010.</w:t>
      </w:r>
    </w:p>
    <w:p>
      <w:pPr>
        <w:spacing w:after="100" w:before="200"/>
        <w:jc w:val="left"/>
      </w:pPr>
      <w:r>
        <w:rPr>
          <w:b/>
          <w:bCs/>
          <w:caps/>
        </w:rPr>
        <w:t xml:space="preserve">II - Preliminares</w:t>
      </w:r>
    </w:p>
    <w:p>
      <w:pPr>
        <w:spacing w:after="80" w:before="140"/>
        <w:jc w:val="left"/>
      </w:pPr>
      <w:r>
        <w:rPr>
          <w:b/>
          <w:bCs/>
        </w:rPr>
        <w:t xml:space="preserve">II.1 - Do Juízo 100% Digital</w:t>
      </w:r>
    </w:p>
    <w:p>
      <w:pPr>
        <w:spacing w:after="120" w:line="276"/>
        <w:ind w:firstLine="567"/>
        <w:jc w:val="both"/>
      </w:pPr>
      <w:r>
        <w:t xml:space="preserve">O INSS concorda com a tramitação do processo na modalidade “Juízo 100% Digital”, conforme estabelecido pela Resolução CNJ Nº 345 de 09/10/2020. No entanto, o instituto discorda que suas intimações e citações sejam realizadas por meio de e-mail ou celular (art. 2º, parágrafo único, da Resolução CNJ Nº 345 de 09/10/2020). As notificações eletrônicas do INSS devem ser feitas por meio do sistema processual eletrônico (art. 183, §1º, do CPC em conjunto com o art. 5º, da Lei nº 11.419/2006).</w:t>
      </w:r>
    </w:p>
    <w:p>
      <w:pPr>
        <w:spacing w:after="80" w:before="140"/>
        <w:jc w:val="left"/>
      </w:pPr>
      <w:r>
        <w:rPr>
          <w:b/>
          <w:bCs/>
        </w:rPr>
        <w:t xml:space="preserve">II.2 - Da Audiência de Conciliação</w:t>
      </w:r>
    </w:p>
    <w:p>
      <w:pPr>
        <w:spacing w:after="120" w:line="276"/>
        <w:ind w:firstLine="567"/>
        <w:jc w:val="both"/>
      </w:pPr>
      <w:r>
        <w:t xml:space="preserve">Estando adstrito aos princípios da legalidade e da indisponibilidade do interesse público, o INSS informa não possuir interesse na realização de audiência de conciliação (art. 334, §4º, II, CPC/2015).</w:t>
      </w:r>
    </w:p>
    <w:p>
      <w:pPr>
        <w:spacing w:after="80" w:before="140"/>
        <w:jc w:val="left"/>
      </w:pPr>
      <w:r>
        <w:rPr>
          <w:b/>
          <w:bCs/>
        </w:rPr>
        <w:t xml:space="preserve">II.3 - Da Renúncia ao Valor Excedente a 60 Salários-Mínimos</w:t>
      </w:r>
    </w:p>
    <w:p>
      <w:pPr>
        <w:spacing w:after="120" w:line="276"/>
        <w:ind w:firstLine="567"/>
        <w:jc w:val="both"/>
      </w:pPr>
      <w:r>
        <w:t xml:space="preserve">Tratando-se de feito que tramita perante o Juizado Especial Federal, é necessário que a parte autora renuncie expressamente ao montante que ultrapasse sessenta salários mínimos (art. 3º, §2º, da Lei n.º 10.259/2001), sob pena de extinção do feito sem análise do mérito.</w:t>
      </w:r>
    </w:p>
    <w:p>
      <w:pPr>
        <w:spacing w:after="80" w:before="140"/>
        <w:jc w:val="left"/>
      </w:pPr>
      <w:r>
        <w:rPr>
          <w:b/>
          <w:bCs/>
        </w:rPr>
        <w:t xml:space="preserve">II.4 - Da Decadência</w:t>
      </w:r>
    </w:p>
    <w:p>
      <w:pPr>
        <w:spacing w:after="120" w:line="276"/>
        <w:ind w:firstLine="567"/>
        <w:jc w:val="both"/>
      </w:pPr>
      <w:r>
        <w:t xml:space="preserve">Considerando o fato de ter decorrido mais de 10 (dez) anos a contar do dia 1º do mês seguinte ao do recebimento da primeira prestação, decaiu o direito da parte autora de revisar o ato de concessão de seu benefício.</w:t>
      </w:r>
    </w:p>
    <w:p>
      <w:pPr>
        <w:spacing w:after="160"/>
      </w:pPr>
      <w:r>
        <w:rPr>
          <w:highlight w:val="yellow"/>
        </w:rPr>
        <w:t xml:space="preserve">[VERIFICAR: deixar a preliminar de decadência somente quando contabilizar 10 anos da data de ajuizamento até a presente data]</w:t>
      </w:r>
    </w:p>
    <w:p>
      <w:pPr>
        <w:spacing w:after="100" w:before="200"/>
        <w:jc w:val="left"/>
      </w:pPr>
      <w:r>
        <w:rPr>
          <w:b/>
          <w:bCs/>
          <w:caps/>
        </w:rPr>
        <w:t xml:space="preserve">III - Do Mérito</w:t>
      </w:r>
    </w:p>
    <w:p>
      <w:pPr>
        <w:spacing w:after="120" w:line="276"/>
        <w:ind w:firstLine="567"/>
        <w:jc w:val="both"/>
      </w:pPr>
      <w:r>
        <w:t xml:space="preserve">Passa-se à análise dos períodos de atividade especial requeridos, conforme tabela abaixo.</w:t>
      </w:r>
    </w:p>
    <w:p>
      <w:pPr>
        <w:spacing w:after="80" w:before="140"/>
        <w:jc w:val="left"/>
      </w:pPr>
      <w:r>
        <w:rPr>
          <w:b/>
          <w:bCs/>
        </w:rPr>
        <w:t xml:space="preserve">III.1 - Período de 06/03/1997 a 31/12/2002 - Agente: Ruído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Período(s):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06/03/1997 a 31/12/2002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Prova apresentada: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PPP de fls. 45/46 do PA (data de emissão: 12/03/2019)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Fundamentos da defesa: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Questões Prejudiciais / Vícios Formais do PPP:</w:t>
            </w:r>
          </w:p>
          <w:p>
            <w:pPr>
              <w:spacing w:after="120"/>
            </w:pPr>
            <w:r>
              <w:t xml:space="preserve">1. A parte autora não comprova que o vistor do PPP possua poderes de representação da empresa.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Agentes Nocivos:</w:t>
            </w:r>
          </w:p>
          <w:p>
            <w:pPr>
              <w:spacing w:after="60"/>
            </w:pPr>
            <w:r>
              <w:t xml:space="preserve">1. Exposição ao ruído dentro do limite de tolerância - 90 dB(A).</w:t>
            </w:r>
          </w:p>
          <w:p>
            <w:pPr>
              <w:spacing w:after="60"/>
            </w:pPr>
            <w:r>
              <w:t xml:space="preserve">2. Não há responsável técnico pelos registros ambientais no período, informação está sempre exigível para o ruído.</w:t>
            </w:r>
          </w:p>
          <w:p>
            <w:pPr>
              <w:spacing w:after="0"/>
            </w:pPr>
            <w:r>
              <w:t xml:space="preserve">3. A metodologia de avaliação informada não atende à legislação. Para períodos entre 03/12/1998 e 18/11/2003, as aferições de ruído contínuo ou intermitente devem obediência à NR-15.</w:t>
            </w:r>
          </w:p>
        </w:tc>
      </w:tr>
    </w:tbl>
    <w:p>
      <w:pPr>
        <w:spacing w:after="120"/>
      </w:pPr>
    </w:p>
    <w:p>
      <w:pPr>
        <w:spacing w:after="80" w:before="140"/>
        <w:jc w:val="left"/>
      </w:pPr>
      <w:r>
        <w:rPr>
          <w:b/>
          <w:bCs/>
        </w:rPr>
        <w:t xml:space="preserve">III.2 - Período de 01/01/2003 a 18/11/2010 - Agente: Calor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Período(s):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01/01/2003 a 18/11/2010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Prova apresentada: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PPP de fls. 45/46 do PA (data de emissão: 12/03/2019)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Fundamentos da defesa:</w:t>
            </w:r>
          </w:p>
        </w:tc>
        <w:tc>
          <w:tcPr>
            <w:tcW w:type="dxa" w:w="7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Agentes Nocivos:</w:t>
            </w:r>
          </w:p>
          <w:p>
            <w:pPr>
              <w:spacing w:after="60"/>
            </w:pPr>
            <w:r>
              <w:t xml:space="preserve">1. A exposição é inferior a 25ºC (patamar mínimo previsto no Anexo 3 da NR-15 com a redação anterior à Portaria SEPRT n° 1.359/2019).</w:t>
            </w:r>
          </w:p>
          <w:p>
            <w:pPr>
              <w:spacing w:after="60"/>
            </w:pPr>
            <w:r>
              <w:t xml:space="preserve">2. Não há responsável técnico pelos registros ambientais no período, exigível a partir de 14/10/1996 (MP nº 1.523/96 e Tema 208/TNU).</w:t>
            </w:r>
          </w:p>
          <w:p>
            <w:pPr>
              <w:spacing w:after="0"/>
            </w:pPr>
            <w:r>
              <w:t xml:space="preserve">3. As medições devem ser feitas em “IBUTG” (Anexo 3 da NR-15).</w:t>
            </w:r>
          </w:p>
        </w:tc>
      </w:tr>
    </w:tbl>
    <w:p>
      <w:pPr>
        <w:spacing w:after="120"/>
      </w:pPr>
    </w:p>
    <w:p>
      <w:pPr>
        <w:spacing w:after="100" w:before="200"/>
        <w:jc w:val="left"/>
      </w:pPr>
      <w:r>
        <w:rPr>
          <w:b/>
          <w:bCs/>
          <w:caps/>
        </w:rPr>
        <w:t xml:space="preserve">IV - Outros Fundamentos</w:t>
      </w:r>
    </w:p>
    <w:p>
      <w:pPr>
        <w:spacing w:after="120" w:line="276"/>
        <w:ind w:firstLine="567"/>
        <w:jc w:val="both"/>
      </w:pPr>
      <w:r>
        <w:t xml:space="preserve">Fica vedada a conversão de tempo especial em comum para períodos posteriores a 13/11/2019 (Art. 25, §2º, da Emenda Constitucional nº 103/2019 c/c Art. 188-P, §5º, do Decreto nº 3.048/99).</w:t>
      </w:r>
    </w:p>
    <w:p>
      <w:pPr>
        <w:spacing w:after="100" w:before="200"/>
        <w:jc w:val="left"/>
      </w:pPr>
      <w:r>
        <w:rPr>
          <w:b/>
          <w:bCs/>
          <w:caps/>
        </w:rPr>
        <w:t xml:space="preserve">V - Dos Pedidos</w:t>
      </w:r>
    </w:p>
    <w:p>
      <w:pPr>
        <w:spacing w:after="120" w:line="276"/>
        <w:ind w:firstLine="567"/>
        <w:jc w:val="both"/>
      </w:pPr>
      <w:r>
        <w:t xml:space="preserve">Ante o exposto, requer o INSS:</w:t>
      </w:r>
    </w:p>
    <w:p>
      <w:pPr>
        <w:spacing w:after="60"/>
      </w:pPr>
      <w:r>
        <w:t xml:space="preserve">a) o acolhimento das preliminares arguidas;</w:t>
      </w:r>
    </w:p>
    <w:p>
      <w:pPr>
        <w:spacing w:after="60"/>
      </w:pPr>
      <w:r>
        <w:t xml:space="preserve">b) no mérito, a total improcedência dos pedidos;</w:t>
      </w:r>
    </w:p>
    <w:p>
      <w:pPr>
        <w:spacing w:after="160"/>
      </w:pPr>
      <w:r>
        <w:t xml:space="preserve">c) subsidiariamente, caso reconhecida alguma especialidade, que seja observada a vedação à conversão após 13/11/2019.</w:t>
      </w:r>
    </w:p>
    <w:p>
      <w:pPr>
        <w:spacing w:after="240" w:line="276"/>
        <w:ind w:firstLine="567"/>
        <w:jc w:val="both"/>
      </w:pPr>
      <w:r>
        <w:t xml:space="preserve">Nestes termos, pede deferimento.</w:t>
      </w:r>
    </w:p>
    <w:p>
      <w:pPr>
        <w:spacing w:after="480"/>
        <w:jc w:val="right"/>
      </w:pPr>
      <w:r>
        <w:t xml:space="preserve">São Paulo, 10 de março de 2025.</w:t>
      </w:r>
    </w:p>
    <w:p>
      <w:pPr>
        <w:spacing w:after="0"/>
        <w:jc w:val="center"/>
      </w:pPr>
      <w:r>
        <w:t xml:space="preserve">_______________________________________</w:t>
      </w:r>
    </w:p>
    <w:p>
      <w:pPr>
        <w:jc w:val="center"/>
      </w:pPr>
      <w:r>
        <w:t xml:space="preserve">Procurador Federal</w:t>
      </w:r>
    </w:p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2026-06-22T19:26:03.952Z</dcterms:created>
  <dcterms:modified xsi:type="dcterms:W3CDTF">2026-06-22T19:26:03.952Z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