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B78" w:rsidRDefault="00E32ADC">
      <w:pPr>
        <w:spacing w:after="360" w:line="276" w:lineRule="auto"/>
        <w:ind w:firstLine="567"/>
        <w:jc w:val="both"/>
      </w:pPr>
      <w:proofErr w:type="gramStart"/>
      <w:r>
        <w:t>EXCELENTÍSSIMO(</w:t>
      </w:r>
      <w:proofErr w:type="gramEnd"/>
      <w:r>
        <w:t>A) SENHOR(A)</w:t>
      </w:r>
      <w:r w:rsidR="00344B2D">
        <w:t xml:space="preserve"> DOUTOR(A) JUIZ(A) FEDERAL DA 9</w:t>
      </w:r>
      <w:r>
        <w:t>ª VARA FEDERAL DO JUIZADO ESPECIAL FEDERAL DA SUBSEÇÃO JUDICIÁRIA DE SÃO PAULO - SP</w:t>
      </w:r>
    </w:p>
    <w:p w:rsidR="00CB0B78" w:rsidRDefault="00E32ADC">
      <w:pPr>
        <w:jc w:val="right"/>
      </w:pPr>
      <w:r>
        <w:t>Proce</w:t>
      </w:r>
      <w:r w:rsidR="00344B2D">
        <w:t>sso nº 900459</w:t>
      </w:r>
      <w:r w:rsidR="00351A92">
        <w:t>3</w:t>
      </w:r>
      <w:r w:rsidR="00344B2D">
        <w:t>-87.2022</w:t>
      </w:r>
      <w:r w:rsidR="00351A92">
        <w:t>.5</w:t>
      </w:r>
      <w:r w:rsidR="00344B2D">
        <w:t>.03.5644</w:t>
      </w:r>
    </w:p>
    <w:p w:rsidR="00CB0B78" w:rsidRDefault="00344B2D">
      <w:pPr>
        <w:jc w:val="right"/>
      </w:pPr>
      <w:r>
        <w:t>NUP: 03332</w:t>
      </w:r>
      <w:r w:rsidR="00351A92">
        <w:t>.</w:t>
      </w:r>
      <w:r>
        <w:t>321658/2023-8</w:t>
      </w:r>
      <w:r w:rsidR="004A7E3D">
        <w:t>0</w:t>
      </w:r>
    </w:p>
    <w:p w:rsidR="00CB0B78" w:rsidRDefault="00344B2D">
      <w:pPr>
        <w:jc w:val="right"/>
      </w:pPr>
      <w:r>
        <w:t>NB: 24/45</w:t>
      </w:r>
      <w:r w:rsidR="00351A92">
        <w:t>8.</w:t>
      </w:r>
      <w:r>
        <w:t>897</w:t>
      </w:r>
      <w:r w:rsidR="00351A92">
        <w:t>.</w:t>
      </w:r>
      <w:r>
        <w:t>981-2</w:t>
      </w:r>
    </w:p>
    <w:p w:rsidR="00CB0B78" w:rsidRDefault="00EB2130">
      <w:pPr>
        <w:spacing w:after="360"/>
        <w:jc w:val="right"/>
      </w:pPr>
      <w:r>
        <w:t xml:space="preserve">DER: </w:t>
      </w:r>
      <w:r w:rsidR="00344B2D">
        <w:t>13/05/2022</w:t>
      </w:r>
    </w:p>
    <w:p w:rsidR="00CB0B78" w:rsidRDefault="00E32ADC">
      <w:pPr>
        <w:spacing w:after="120" w:line="276" w:lineRule="auto"/>
        <w:ind w:firstLine="567"/>
        <w:jc w:val="both"/>
      </w:pPr>
      <w:r>
        <w:t xml:space="preserve">O </w:t>
      </w:r>
      <w:r>
        <w:rPr>
          <w:b/>
          <w:bCs/>
        </w:rPr>
        <w:t>INSTITUTO NACIONAL DO SEGURO SOCIAL - INSS</w:t>
      </w:r>
      <w:r>
        <w:t xml:space="preserve">, autarquia federal já qualificada nos autos do processo em epígrafe, que lhe move </w:t>
      </w:r>
      <w:r w:rsidR="00344B2D">
        <w:rPr>
          <w:b/>
          <w:bCs/>
        </w:rPr>
        <w:t>CLÓVIS BRANDÃO DE LIMA</w:t>
      </w:r>
      <w:r>
        <w:t>, vem, respeitosamente, à presença de Vossa Excelência, por seu procurador federal ao final assinado, apresenta</w:t>
      </w:r>
      <w:r>
        <w:t>r</w:t>
      </w:r>
    </w:p>
    <w:p w:rsidR="00CB0B78" w:rsidRDefault="00E32ADC">
      <w:pPr>
        <w:spacing w:before="240" w:after="240"/>
        <w:jc w:val="center"/>
      </w:pPr>
      <w:r>
        <w:rPr>
          <w:b/>
          <w:bCs/>
          <w:caps/>
        </w:rPr>
        <w:t>Contestação</w:t>
      </w:r>
    </w:p>
    <w:p w:rsidR="00CB0B78" w:rsidRDefault="00E32ADC">
      <w:pPr>
        <w:spacing w:after="120" w:line="276" w:lineRule="auto"/>
        <w:ind w:firstLine="567"/>
        <w:jc w:val="both"/>
      </w:pPr>
      <w:proofErr w:type="gramStart"/>
      <w:r>
        <w:t>pelos</w:t>
      </w:r>
      <w:proofErr w:type="gramEnd"/>
      <w:r>
        <w:t xml:space="preserve"> fatos e fundamentos jurídicos a seguir expostos.</w:t>
      </w:r>
    </w:p>
    <w:p w:rsidR="00CB0B78" w:rsidRDefault="00E32ADC">
      <w:pPr>
        <w:spacing w:before="200" w:after="100"/>
      </w:pPr>
      <w:r>
        <w:rPr>
          <w:b/>
          <w:bCs/>
          <w:caps/>
        </w:rPr>
        <w:t>I - Síntese da Demanda</w:t>
      </w:r>
    </w:p>
    <w:p w:rsidR="00CB0B78" w:rsidRDefault="00E32ADC">
      <w:pPr>
        <w:spacing w:after="120" w:line="276" w:lineRule="auto"/>
        <w:ind w:firstLine="567"/>
        <w:jc w:val="both"/>
      </w:pPr>
      <w:r>
        <w:t>Trata-se de ação em que pleiteia a parte autora a concessão do benefício de aposentadoria especial após a conversão de tempo especial em comum, alegando exposição a</w:t>
      </w:r>
      <w:r>
        <w:t xml:space="preserve"> ag</w:t>
      </w:r>
      <w:r w:rsidR="00EB2130">
        <w:t>entes nocivos nos períodos de</w:t>
      </w:r>
      <w:r w:rsidR="00344B2D">
        <w:t xml:space="preserve"> 19/12/1990 a 16/05/2004 e de 25/02/2006 a 1</w:t>
      </w:r>
      <w:r w:rsidR="00351A92">
        <w:t>5/0</w:t>
      </w:r>
      <w:r w:rsidR="00344B2D">
        <w:t>8/2009</w:t>
      </w:r>
      <w:r>
        <w:t>.</w:t>
      </w:r>
    </w:p>
    <w:p w:rsidR="00CB0B78" w:rsidRDefault="00E32ADC">
      <w:pPr>
        <w:spacing w:before="200" w:after="100"/>
      </w:pPr>
      <w:r>
        <w:rPr>
          <w:b/>
          <w:bCs/>
          <w:caps/>
        </w:rPr>
        <w:t>II - Preliminares</w:t>
      </w:r>
    </w:p>
    <w:p w:rsidR="00CB0B78" w:rsidRDefault="00E32ADC">
      <w:pPr>
        <w:spacing w:before="140" w:after="80"/>
      </w:pPr>
      <w:r>
        <w:rPr>
          <w:b/>
          <w:bCs/>
        </w:rPr>
        <w:t>II.1 - Do Juízo 100% Digital</w:t>
      </w:r>
    </w:p>
    <w:p w:rsidR="00CB0B78" w:rsidRDefault="00E32ADC">
      <w:pPr>
        <w:spacing w:after="120" w:line="276" w:lineRule="auto"/>
        <w:ind w:firstLine="567"/>
        <w:jc w:val="both"/>
      </w:pPr>
      <w:r>
        <w:t xml:space="preserve">O INSS concorda com a tramitação do processo na modalidade “Juízo 100% Digital”, conforme estabelecido pela Resolução CNJ </w:t>
      </w:r>
      <w:r>
        <w:t>Nº 345 de 09/10/2020. No entanto, o instituto discorda que suas intimações e citações sejam realizadas por meio de e-mail ou celular (art. 2º, parágrafo único, da Resolução CNJ Nº 345 de 09/10/2020). As notificações eletrônicas do INSS devem ser feitas por</w:t>
      </w:r>
      <w:r>
        <w:t xml:space="preserve"> meio do sistema processual eletrônico (art. 183, §1º, do CPC em conjunto com o art. 5º, da Lei nº 11.419/2006).</w:t>
      </w:r>
    </w:p>
    <w:p w:rsidR="00CB0B78" w:rsidRDefault="00E32ADC">
      <w:pPr>
        <w:spacing w:before="140" w:after="80"/>
      </w:pPr>
      <w:r>
        <w:rPr>
          <w:b/>
          <w:bCs/>
        </w:rPr>
        <w:t>II.2 - Da Audiência de Conciliação</w:t>
      </w:r>
    </w:p>
    <w:p w:rsidR="00CB0B78" w:rsidRDefault="00E32ADC">
      <w:pPr>
        <w:spacing w:after="120" w:line="276" w:lineRule="auto"/>
        <w:ind w:firstLine="567"/>
        <w:jc w:val="both"/>
      </w:pPr>
      <w:r>
        <w:t>Estando adstrito aos princípios da legalidade e da indisponibilidade do interesse público, o INSS informa nã</w:t>
      </w:r>
      <w:r>
        <w:t>o possuir interesse na realização de audiência de conciliação (art. 334, §4º, II, CPC/2015).</w:t>
      </w:r>
    </w:p>
    <w:p w:rsidR="00CB0B78" w:rsidRDefault="00E32ADC">
      <w:pPr>
        <w:spacing w:before="140" w:after="80"/>
      </w:pPr>
      <w:r>
        <w:rPr>
          <w:b/>
          <w:bCs/>
        </w:rPr>
        <w:t>II.3 - Da Renúncia ao Valor Excedente a 60 Salários-Mínimos</w:t>
      </w:r>
    </w:p>
    <w:p w:rsidR="00CB0B78" w:rsidRDefault="00E32ADC">
      <w:pPr>
        <w:spacing w:after="120" w:line="276" w:lineRule="auto"/>
        <w:ind w:firstLine="567"/>
        <w:jc w:val="both"/>
      </w:pPr>
      <w:r>
        <w:t>Tratando-se de feito que tramita perante o Juizado Especial Federal, é necessário que a parte autora re</w:t>
      </w:r>
      <w:r>
        <w:t xml:space="preserve">nuncie expressamente ao montante que ultrapasse sessenta salários mínimos (art. 3º, §2º, da Lei </w:t>
      </w:r>
      <w:proofErr w:type="gramStart"/>
      <w:r>
        <w:t>n.º</w:t>
      </w:r>
      <w:proofErr w:type="gramEnd"/>
      <w:r>
        <w:t xml:space="preserve"> 10.259/2001), sob pena de extinção do feito sem análise do mérito.</w:t>
      </w:r>
    </w:p>
    <w:p w:rsidR="00EB2130" w:rsidRDefault="00EB2130">
      <w:pPr>
        <w:spacing w:before="200" w:after="100"/>
      </w:pPr>
    </w:p>
    <w:p w:rsidR="00EB2130" w:rsidRDefault="00EB2130">
      <w:pPr>
        <w:spacing w:before="200" w:after="100"/>
      </w:pPr>
    </w:p>
    <w:p w:rsidR="00EB2130" w:rsidRDefault="00EB2130">
      <w:pPr>
        <w:spacing w:before="200" w:after="100"/>
      </w:pPr>
    </w:p>
    <w:p w:rsidR="00CB0B78" w:rsidRDefault="00E32ADC">
      <w:pPr>
        <w:spacing w:before="200" w:after="100"/>
      </w:pPr>
      <w:r>
        <w:rPr>
          <w:b/>
          <w:bCs/>
          <w:caps/>
        </w:rPr>
        <w:lastRenderedPageBreak/>
        <w:t>III - Do Mérito</w:t>
      </w:r>
    </w:p>
    <w:p w:rsidR="00CB0B78" w:rsidRDefault="00E32ADC">
      <w:pPr>
        <w:spacing w:after="120" w:line="276" w:lineRule="auto"/>
        <w:ind w:firstLine="567"/>
        <w:jc w:val="both"/>
      </w:pPr>
      <w:r>
        <w:t>Passa-se à análise dos períodos de atividade especial requeridos, conforme tabela abaixo.</w:t>
      </w:r>
    </w:p>
    <w:p w:rsidR="00CB0B78" w:rsidRDefault="005100A9">
      <w:pPr>
        <w:spacing w:before="140" w:after="80"/>
      </w:pPr>
      <w:r>
        <w:rPr>
          <w:b/>
          <w:bCs/>
        </w:rPr>
        <w:t>III.1 - Período</w:t>
      </w:r>
      <w:r w:rsidR="00344B2D">
        <w:rPr>
          <w:b/>
          <w:bCs/>
        </w:rPr>
        <w:t xml:space="preserve"> de </w:t>
      </w:r>
      <w:r w:rsidR="00344B2D" w:rsidRPr="00344B2D">
        <w:rPr>
          <w:b/>
        </w:rPr>
        <w:t>19/12/1990 a 16/05/2004</w:t>
      </w:r>
      <w:r w:rsidR="00E32ADC">
        <w:rPr>
          <w:b/>
          <w:bCs/>
        </w:rPr>
        <w:t xml:space="preserve"> - Agente: Ruído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CB0B78">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120" w:type="dxa"/>
            </w:tcMar>
          </w:tcPr>
          <w:p w:rsidR="00CB0B78" w:rsidRDefault="00E32ADC">
            <w:r>
              <w:rPr>
                <w:b/>
                <w:bCs/>
              </w:rPr>
              <w:t>Período(s):</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B0B78" w:rsidRDefault="00344B2D" w:rsidP="00EB2130">
            <w:pPr>
              <w:tabs>
                <w:tab w:val="left" w:pos="3030"/>
              </w:tabs>
            </w:pPr>
            <w:r>
              <w:t>19/12/1990 a 16/05/2004</w:t>
            </w:r>
          </w:p>
        </w:tc>
      </w:tr>
      <w:tr w:rsidR="00CB0B78">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120" w:type="dxa"/>
            </w:tcMar>
          </w:tcPr>
          <w:p w:rsidR="00CB0B78" w:rsidRDefault="00E32ADC">
            <w:r>
              <w:rPr>
                <w:b/>
                <w:bCs/>
              </w:rPr>
              <w:t>Prova apresentada:</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B0B78" w:rsidRDefault="00EE5DB3">
            <w:r>
              <w:t>PPP de fls. 77 e 78</w:t>
            </w:r>
            <w:r w:rsidR="00E32ADC">
              <w:t xml:space="preserve"> do</w:t>
            </w:r>
            <w:r w:rsidR="00EB2130">
              <w:t xml:space="preserve"> PA (data de emissão: </w:t>
            </w:r>
            <w:r>
              <w:t>13/05/2022</w:t>
            </w:r>
            <w:r w:rsidR="00E32ADC">
              <w:t>)</w:t>
            </w:r>
          </w:p>
        </w:tc>
      </w:tr>
      <w:tr w:rsidR="00CB0B78">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120" w:type="dxa"/>
            </w:tcMar>
          </w:tcPr>
          <w:p w:rsidR="00CB0B78" w:rsidRDefault="00E32ADC">
            <w:r>
              <w:rPr>
                <w:b/>
                <w:bCs/>
              </w:rPr>
              <w:t>Fundamentos da defesa:</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B0B78" w:rsidRDefault="00E32ADC">
            <w:pPr>
              <w:spacing w:after="60"/>
            </w:pPr>
            <w:r>
              <w:rPr>
                <w:b/>
                <w:bCs/>
              </w:rPr>
              <w:t>Questões Prej</w:t>
            </w:r>
            <w:r w:rsidR="00EB2130">
              <w:rPr>
                <w:b/>
                <w:bCs/>
              </w:rPr>
              <w:t>udiciais / Vícios Formais do PPP</w:t>
            </w:r>
            <w:r>
              <w:rPr>
                <w:b/>
                <w:bCs/>
              </w:rPr>
              <w:t>:</w:t>
            </w:r>
          </w:p>
          <w:p w:rsidR="00CB0B78" w:rsidRDefault="00E32ADC">
            <w:pPr>
              <w:spacing w:after="120"/>
            </w:pPr>
            <w:r>
              <w:t>1. A parte autora não comprova que o vistor do PPP possua poderes de representação da empresa.</w:t>
            </w:r>
          </w:p>
          <w:p w:rsidR="00CB0B78" w:rsidRDefault="00E32ADC">
            <w:pPr>
              <w:spacing w:after="60"/>
              <w:rPr>
                <w:b/>
                <w:bCs/>
              </w:rPr>
            </w:pPr>
            <w:r>
              <w:rPr>
                <w:b/>
                <w:bCs/>
              </w:rPr>
              <w:t>Agentes Nocivos:</w:t>
            </w:r>
          </w:p>
          <w:p w:rsidR="00EE5DB3" w:rsidRDefault="00EE5DB3" w:rsidP="00EE5DB3"/>
          <w:p w:rsidR="00EE5DB3" w:rsidRDefault="00EE5DB3" w:rsidP="00EE5DB3">
            <w:r>
              <w:rPr>
                <w:rStyle w:val="Forte"/>
                <w:rFonts w:ascii="Cambria Math" w:hAnsi="Cambria Math" w:cs="Cambria Math"/>
              </w:rPr>
              <w:t>⇒</w:t>
            </w:r>
            <w:r>
              <w:rPr>
                <w:rStyle w:val="Forte"/>
              </w:rPr>
              <w:t xml:space="preserve"> Ruído:</w:t>
            </w:r>
          </w:p>
          <w:p w:rsidR="00EE5DB3" w:rsidRDefault="00EE5DB3" w:rsidP="00EE5DB3">
            <w:pPr>
              <w:pStyle w:val="NormalWeb"/>
            </w:pPr>
            <w:r>
              <w:rPr>
                <w:rStyle w:val="Forte"/>
              </w:rPr>
              <w:t>- Até 02/12/1998 (véspera da vigência da MP 1.729/98):</w:t>
            </w:r>
          </w:p>
          <w:p w:rsidR="00EE5DB3" w:rsidRDefault="00EE5DB3" w:rsidP="00EE5DB3">
            <w:pPr>
              <w:pStyle w:val="NormalWeb"/>
              <w:ind w:left="360"/>
            </w:pPr>
            <w:r>
              <w:t>1.</w:t>
            </w:r>
            <w:r>
              <w:t>Não há responsável técnico pelos registros ambientais no período, informação está sempre exigível para o ruído.</w:t>
            </w:r>
          </w:p>
          <w:p w:rsidR="00EE5DB3" w:rsidRDefault="00EE5DB3" w:rsidP="00EE5DB3">
            <w:pPr>
              <w:pStyle w:val="NormalWeb"/>
              <w:numPr>
                <w:ilvl w:val="0"/>
                <w:numId w:val="20"/>
              </w:numPr>
            </w:pPr>
            <w:r>
              <w:t>O formulário não informa a metodologia empregada para a aferição do ruído.</w:t>
            </w:r>
          </w:p>
          <w:p w:rsidR="00EE5DB3" w:rsidRDefault="00EE5DB3" w:rsidP="00EE5DB3">
            <w:pPr>
              <w:pStyle w:val="NormalWeb"/>
              <w:numPr>
                <w:ilvl w:val="0"/>
                <w:numId w:val="20"/>
              </w:numPr>
            </w:pPr>
            <w:r>
              <w:rPr>
                <w:rStyle w:val="Forte"/>
              </w:rPr>
              <w:t>O PPP informa dois ou mais níveis de ruído para o mesmo período:</w:t>
            </w:r>
          </w:p>
          <w:p w:rsidR="00EE5DB3" w:rsidRDefault="00EE5DB3" w:rsidP="00EE5DB3">
            <w:pPr>
              <w:pStyle w:val="NormalWeb"/>
              <w:ind w:left="360"/>
            </w:pPr>
            <w:r>
              <w:t>4.</w:t>
            </w:r>
            <w:r>
              <w:t xml:space="preserve">Conforme preconiza o item 2, do anexo 1, da NR-15: os níveis de ruído contínuo ou intermitente devem ser medidos em decibéis (dB) com instrumento de nível de pressão sonora operando no circuito de compensação "A" e circuito de resposta lenta (SLOW). As leituras devem ser feitas próximas ao ouvido do trabalhador. In </w:t>
            </w:r>
            <w:proofErr w:type="spellStart"/>
            <w:r>
              <w:t>casu</w:t>
            </w:r>
            <w:proofErr w:type="spellEnd"/>
            <w:r>
              <w:t>, não há informação sobre o circuito de compensação utilizado pelo aparelho medidor de nível de pressão sonora, limitando-se a informar dB.</w:t>
            </w:r>
          </w:p>
          <w:p w:rsidR="00EE5DB3" w:rsidRDefault="00EE5DB3" w:rsidP="00EE5DB3">
            <w:pPr>
              <w:pStyle w:val="NormalWeb"/>
              <w:numPr>
                <w:ilvl w:val="0"/>
                <w:numId w:val="21"/>
              </w:numPr>
            </w:pPr>
            <w:r>
              <w:rPr>
                <w:rStyle w:val="Forte"/>
              </w:rPr>
              <w:t>Utilização da NHO-01 para períodos anteriores ao ano de 2001:</w:t>
            </w:r>
          </w:p>
          <w:p w:rsidR="00EE5DB3" w:rsidRDefault="00EE5DB3" w:rsidP="00EE5DB3">
            <w:pPr>
              <w:pStyle w:val="NormalWeb"/>
            </w:pPr>
            <w:r>
              <w:t>Há inconsistência nas informações lançadas no PPP no tocante à técnica utilizada para a avaliação do ruído. Com efeito, a NHO-01 da FUNDACENTRO foi publicada no ano de 2001, de modo que a metodologia lá prevista não poderia ter sido utilizada em período anterior. Desta forma, o PPP apresentado, pela inconsistência acima identificada, não possui o condão de comprovar a exposição ao ruído acima dos limites de tolerância.</w:t>
            </w:r>
          </w:p>
          <w:p w:rsidR="00EE5DB3" w:rsidRDefault="00EE5DB3" w:rsidP="00EE5DB3">
            <w:pPr>
              <w:pStyle w:val="NormalWeb"/>
              <w:numPr>
                <w:ilvl w:val="0"/>
                <w:numId w:val="22"/>
              </w:numPr>
            </w:pPr>
            <w:r>
              <w:rPr>
                <w:rStyle w:val="Forte"/>
              </w:rPr>
              <w:t>O PPP informa "NR-15" e "NHO-01" simultaneamente:</w:t>
            </w:r>
          </w:p>
          <w:p w:rsidR="00EE5DB3" w:rsidRDefault="00EE5DB3" w:rsidP="00EE5DB3">
            <w:pPr>
              <w:pStyle w:val="NormalWeb"/>
            </w:pPr>
            <w:r>
              <w:t xml:space="preserve">No caso dos autos, há inconsistência nos dados do PPP, haja vista a impossibilidade de emprego simultâneo das metodologias previstas na </w:t>
            </w:r>
            <w:r>
              <w:lastRenderedPageBreak/>
              <w:t xml:space="preserve">NHO-01 da </w:t>
            </w:r>
            <w:proofErr w:type="spellStart"/>
            <w:r>
              <w:t>Fundacentro</w:t>
            </w:r>
            <w:proofErr w:type="spellEnd"/>
            <w:r>
              <w:t xml:space="preserve"> e na NR-15. Com efeito, considerando que as metodologias mencionadas empregam fatores de incremento de dose diferentes (q=3 ou q=5), a utilização simultânea das metodologias seria tecnicamente inviável.</w:t>
            </w:r>
          </w:p>
          <w:p w:rsidR="00EE5DB3" w:rsidRDefault="00EE5DB3" w:rsidP="00EE5DB3">
            <w:r>
              <w:pict>
                <v:rect id="_x0000_i1044" style="width:0;height:1.5pt" o:hralign="center" o:hrstd="t" o:hr="t" fillcolor="#a0a0a0" stroked="f"/>
              </w:pict>
            </w:r>
          </w:p>
          <w:p w:rsidR="00EE5DB3" w:rsidRDefault="00EE5DB3" w:rsidP="00EE5DB3">
            <w:pPr>
              <w:pStyle w:val="NormalWeb"/>
            </w:pPr>
            <w:r>
              <w:rPr>
                <w:rStyle w:val="Forte"/>
              </w:rPr>
              <w:t>- De 03/12/1998 a 18/11/2003:</w:t>
            </w:r>
          </w:p>
          <w:p w:rsidR="00EE5DB3" w:rsidRDefault="00EE5DB3" w:rsidP="00EE5DB3">
            <w:pPr>
              <w:pStyle w:val="NormalWeb"/>
              <w:ind w:left="360"/>
            </w:pPr>
            <w:r>
              <w:t>1.</w:t>
            </w:r>
            <w:r>
              <w:t>Não há responsável técnico pelos registros ambientais no período, informação está sempre exigível para o ruído.</w:t>
            </w:r>
          </w:p>
          <w:p w:rsidR="00EE5DB3" w:rsidRDefault="00EE5DB3" w:rsidP="00EE5DB3">
            <w:pPr>
              <w:pStyle w:val="NormalWeb"/>
              <w:ind w:left="360"/>
            </w:pPr>
            <w:r>
              <w:t>2.</w:t>
            </w:r>
            <w:r>
              <w:t>A metodologia de avaliação informada não atende à legislação. Para períodos entre 03/12/1998 e 18/11/2003, as aferições de ruído contínuo ou intermitente devem obedecer à NR-15, não sendo suficiente a menção genérica à dosimetria/dose/</w:t>
            </w:r>
            <w:proofErr w:type="spellStart"/>
            <w:r>
              <w:t>Leq</w:t>
            </w:r>
            <w:proofErr w:type="spellEnd"/>
            <w:r>
              <w:t>/</w:t>
            </w:r>
            <w:proofErr w:type="spellStart"/>
            <w:r>
              <w:t>Lavg</w:t>
            </w:r>
            <w:proofErr w:type="spellEnd"/>
            <w:r>
              <w:t>/TWA. A referência expressa à norma regente da aferição é garantia da obediência, por parte do avaliador, a todos os seus parâmetros, sobretudo de que a avaliação é representativa da jornada de trabalho. Destaca-se que a MP 1.729/98, ao alterar o art. 58, §1º, da Lei 8.213/91, passa a exigir, para períodos a partir de 03/12/1998, que a avaliação seja feita conforme a legislação trabalhista (NR-15).</w:t>
            </w:r>
          </w:p>
          <w:p w:rsidR="00EE5DB3" w:rsidRDefault="00EE5DB3" w:rsidP="00EE5DB3">
            <w:pPr>
              <w:pStyle w:val="NormalWeb"/>
              <w:numPr>
                <w:ilvl w:val="0"/>
                <w:numId w:val="24"/>
              </w:numPr>
            </w:pPr>
            <w:r>
              <w:rPr>
                <w:rStyle w:val="Forte"/>
              </w:rPr>
              <w:t>Utilização da NHO-01 para períodos anteriores ao ano de 2001:</w:t>
            </w:r>
          </w:p>
          <w:p w:rsidR="00EE5DB3" w:rsidRDefault="00EE5DB3" w:rsidP="00EE5DB3">
            <w:pPr>
              <w:pStyle w:val="NormalWeb"/>
            </w:pPr>
            <w:r>
              <w:t>Há inconsistência nas informações lançadas no PPP no tocante à técnica utilizada para a avaliação do ruído. Com efeito, a NHO-01 da FUNDACENTRO foi publicada no ano de 2001, de modo que a metodologia lá prevista não poderia ter sido utilizada em período anterior. Desta forma, o PPP apresentado, pela inconsistência acima identificada, não possui o condão de comprovar a exposição ao ruído acima dos limites de tolerância.</w:t>
            </w:r>
          </w:p>
          <w:p w:rsidR="00EE5DB3" w:rsidRDefault="00EE5DB3" w:rsidP="00EE5DB3">
            <w:pPr>
              <w:pStyle w:val="NormalWeb"/>
              <w:numPr>
                <w:ilvl w:val="0"/>
                <w:numId w:val="25"/>
              </w:numPr>
            </w:pPr>
            <w:r>
              <w:rPr>
                <w:rStyle w:val="Forte"/>
              </w:rPr>
              <w:t>O PPP informa "NR-15" e "NHO-01" simultaneamente:</w:t>
            </w:r>
          </w:p>
          <w:p w:rsidR="00EE5DB3" w:rsidRDefault="00EE5DB3" w:rsidP="00EE5DB3">
            <w:pPr>
              <w:pStyle w:val="NormalWeb"/>
            </w:pPr>
            <w:r>
              <w:t xml:space="preserve">No caso dos autos, há inconsistência nos dados do PPP, haja vista a impossibilidade de emprego simultâneo das metodologias previstas na NHO-01 da </w:t>
            </w:r>
            <w:proofErr w:type="spellStart"/>
            <w:r>
              <w:t>Fundacentro</w:t>
            </w:r>
            <w:proofErr w:type="spellEnd"/>
            <w:r>
              <w:t xml:space="preserve"> e na NR-15. Com efeito, considerando que as metodologias mencionadas empregam fatores de incremento de dose diferentes (q=3 ou q=5), a utilização simultânea das metodologias seria tecnicamente inviável.</w:t>
            </w:r>
          </w:p>
          <w:p w:rsidR="00EE5DB3" w:rsidRDefault="00EE5DB3" w:rsidP="00EE5DB3">
            <w:r>
              <w:pict>
                <v:rect id="_x0000_i1045" style="width:0;height:1.5pt" o:hralign="center" o:hrstd="t" o:hr="t" fillcolor="#a0a0a0" stroked="f"/>
              </w:pict>
            </w:r>
          </w:p>
          <w:p w:rsidR="00EE5DB3" w:rsidRDefault="00EE5DB3" w:rsidP="00EE5DB3">
            <w:pPr>
              <w:pStyle w:val="NormalWeb"/>
            </w:pPr>
            <w:r>
              <w:rPr>
                <w:rStyle w:val="Forte"/>
              </w:rPr>
              <w:t>- A partir de 19/11/2003 (Decreto nº 4.882/03):</w:t>
            </w:r>
          </w:p>
          <w:p w:rsidR="00EE5DB3" w:rsidRDefault="00EE5DB3" w:rsidP="00EE5DB3">
            <w:pPr>
              <w:pStyle w:val="NormalWeb"/>
              <w:numPr>
                <w:ilvl w:val="0"/>
                <w:numId w:val="26"/>
              </w:numPr>
            </w:pPr>
            <w:r>
              <w:rPr>
                <w:rStyle w:val="Forte"/>
              </w:rPr>
              <w:lastRenderedPageBreak/>
              <w:t>O PPP informa dois ou mais níveis de ruído para o mesmo período:</w:t>
            </w:r>
          </w:p>
          <w:p w:rsidR="00EE5DB3" w:rsidRDefault="00EE5DB3" w:rsidP="00EE5DB3">
            <w:pPr>
              <w:pStyle w:val="NormalWeb"/>
            </w:pPr>
            <w:r>
              <w:t>O PPP não informa o Nível de Exposição Normalizado (NEN) para o período, não tendo sido comprovada a exposição permanente, não ocasional nem intermitente, ao agente ruído, nos termos da tese fixada no Tema 1083 do STJ.</w:t>
            </w:r>
          </w:p>
          <w:p w:rsidR="00EE5DB3" w:rsidRDefault="00EE5DB3" w:rsidP="00EE5DB3">
            <w:pPr>
              <w:pStyle w:val="NormalWeb"/>
              <w:ind w:left="360"/>
            </w:pPr>
            <w:r>
              <w:t>2.</w:t>
            </w:r>
            <w:r>
              <w:t>Não há responsável técnico pelos registros ambientais no período, informação está sempre exigível para o ruído.</w:t>
            </w:r>
          </w:p>
          <w:p w:rsidR="00EE5DB3" w:rsidRDefault="00EE5DB3" w:rsidP="00EE5DB3">
            <w:pPr>
              <w:pStyle w:val="NormalWeb"/>
              <w:numPr>
                <w:ilvl w:val="0"/>
                <w:numId w:val="27"/>
              </w:numPr>
            </w:pPr>
            <w:r>
              <w:t>A metodologia de aferição informada no formulário não atende à legislação em vigor. Para períodos posteriores a 18/11/2003, é obrigatória a indicação dos níveis de ruído em "Nível de Exposição Normalizado (NEN)", conforme as metodologias e procedimentos definidos na NHO-01 da FUNDACENTRO, por força do Decreto nº 4.882/03.</w:t>
            </w:r>
          </w:p>
          <w:p w:rsidR="00EE5DB3" w:rsidRDefault="00EE5DB3" w:rsidP="00EE5DB3">
            <w:pPr>
              <w:pStyle w:val="NormalWeb"/>
            </w:pPr>
            <w:r>
              <w:t>Neste contexto, a mera indicação do uso da metodologia da NHO-01, sem que haja a informação em NEN, não comprova a nocividade da exposição, haja vista que a NHO-01 prevê outra forma de avaliação (NE - Nível de Exposição) que não representa a jornada padrão de oito horas para fins de comparação com o limite de tolerância.</w:t>
            </w:r>
          </w:p>
          <w:p w:rsidR="00EE5DB3" w:rsidRDefault="00EE5DB3" w:rsidP="00EE5DB3">
            <w:pPr>
              <w:pStyle w:val="NormalWeb"/>
              <w:ind w:left="360"/>
            </w:pPr>
            <w:r w:rsidRPr="00EE5DB3">
              <w:rPr>
                <w:rStyle w:val="Forte"/>
                <w:b w:val="0"/>
              </w:rPr>
              <w:t>4</w:t>
            </w:r>
            <w:r>
              <w:rPr>
                <w:rStyle w:val="Forte"/>
              </w:rPr>
              <w:t>.</w:t>
            </w:r>
            <w:r>
              <w:rPr>
                <w:rStyle w:val="Forte"/>
              </w:rPr>
              <w:t>O PPP informa "NR-15" e "NHO-01" simultaneamente:</w:t>
            </w:r>
          </w:p>
          <w:p w:rsidR="00CB0B78" w:rsidRDefault="00EE5DB3" w:rsidP="00EE5DB3">
            <w:pPr>
              <w:pStyle w:val="NormalWeb"/>
            </w:pPr>
            <w:r>
              <w:t xml:space="preserve">No caso dos autos, há inconsistência nos dados do PPP, haja vista a impossibilidade de emprego simultâneo das metodologias previstas na NHO-01 da </w:t>
            </w:r>
            <w:proofErr w:type="spellStart"/>
            <w:r>
              <w:t>Fundacentro</w:t>
            </w:r>
            <w:proofErr w:type="spellEnd"/>
            <w:r>
              <w:t xml:space="preserve"> e na NR-15. Com efeito, considerando que as metodologias mencionadas empregam fatores de incremento de dose diferentes (q=3 ou q=5), a utilização simultânea das metodologias seria tecnicamente inviável.</w:t>
            </w:r>
          </w:p>
        </w:tc>
      </w:tr>
    </w:tbl>
    <w:p w:rsidR="00CB0B78" w:rsidRDefault="00CB0B78">
      <w:pPr>
        <w:spacing w:after="120"/>
      </w:pPr>
    </w:p>
    <w:p w:rsidR="00CB0B78" w:rsidRDefault="00E32ADC">
      <w:pPr>
        <w:spacing w:before="140" w:after="80"/>
      </w:pPr>
      <w:r>
        <w:rPr>
          <w:b/>
          <w:bCs/>
        </w:rPr>
        <w:t xml:space="preserve">III.2 - Período de </w:t>
      </w:r>
      <w:r w:rsidR="00490E3B" w:rsidRPr="00490E3B">
        <w:rPr>
          <w:b/>
        </w:rPr>
        <w:t>25/02/2006 a 15/08/2009</w:t>
      </w:r>
      <w:r>
        <w:rPr>
          <w:b/>
          <w:bCs/>
        </w:rPr>
        <w:t xml:space="preserve"> - Agente: Químic</w:t>
      </w:r>
      <w:r w:rsidR="004929D3">
        <w:rPr>
          <w:b/>
          <w:bCs/>
        </w:rPr>
        <w: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CB0B78">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120" w:type="dxa"/>
            </w:tcMar>
          </w:tcPr>
          <w:p w:rsidR="00CB0B78" w:rsidRDefault="00E32ADC">
            <w:r>
              <w:rPr>
                <w:b/>
                <w:bCs/>
              </w:rPr>
              <w:t>Período(s):</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B0B78" w:rsidRDefault="00490E3B">
            <w:r>
              <w:t>25/02/2006 a 15/08/2009</w:t>
            </w:r>
            <w:bookmarkStart w:id="0" w:name="_GoBack"/>
            <w:bookmarkEnd w:id="0"/>
          </w:p>
        </w:tc>
      </w:tr>
      <w:tr w:rsidR="00CB0B78">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120" w:type="dxa"/>
            </w:tcMar>
          </w:tcPr>
          <w:p w:rsidR="00CB0B78" w:rsidRDefault="00E32ADC">
            <w:r>
              <w:rPr>
                <w:b/>
                <w:bCs/>
              </w:rPr>
              <w:t>Prova apresentada:</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B0B78" w:rsidRDefault="00490E3B">
            <w:r>
              <w:t>PPP de fls. 101 e 102</w:t>
            </w:r>
            <w:r w:rsidR="00E32ADC">
              <w:t xml:space="preserve"> do PA (data de emissão: </w:t>
            </w:r>
            <w:r>
              <w:t>13/05/2022</w:t>
            </w:r>
            <w:r w:rsidR="00E32ADC">
              <w:t>)</w:t>
            </w:r>
          </w:p>
        </w:tc>
      </w:tr>
      <w:tr w:rsidR="00CB0B78">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shd w:val="clear" w:color="auto" w:fill="F0F0F0"/>
            <w:tcMar>
              <w:top w:w="80" w:type="dxa"/>
              <w:left w:w="120" w:type="dxa"/>
              <w:bottom w:w="80" w:type="dxa"/>
              <w:right w:w="120" w:type="dxa"/>
            </w:tcMar>
          </w:tcPr>
          <w:p w:rsidR="00CB0B78" w:rsidRDefault="00E32ADC">
            <w:r>
              <w:rPr>
                <w:b/>
                <w:bCs/>
              </w:rPr>
              <w:t>Fundamentos da defesa:</w:t>
            </w:r>
          </w:p>
        </w:tc>
        <w:tc>
          <w:tcPr>
            <w:tcW w:w="7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CB0B78" w:rsidRDefault="00E32ADC">
            <w:pPr>
              <w:spacing w:after="60"/>
              <w:rPr>
                <w:b/>
                <w:bCs/>
              </w:rPr>
            </w:pPr>
            <w:r>
              <w:rPr>
                <w:b/>
                <w:bCs/>
              </w:rPr>
              <w:t>Agentes Nocivo</w:t>
            </w:r>
            <w:r>
              <w:rPr>
                <w:b/>
                <w:bCs/>
              </w:rPr>
              <w:t>s</w:t>
            </w:r>
            <w:r>
              <w:rPr>
                <w:b/>
                <w:bCs/>
              </w:rPr>
              <w:t>:</w:t>
            </w:r>
          </w:p>
          <w:p w:rsidR="00E32ADC" w:rsidRPr="00E32ADC" w:rsidRDefault="00E32ADC" w:rsidP="00E32ADC">
            <w:pPr>
              <w:pStyle w:val="NormalWeb"/>
              <w:rPr>
                <w:rStyle w:val="Forte"/>
                <w:rFonts w:ascii="Cambria Math" w:hAnsi="Cambria Math" w:cs="Cambria Math"/>
              </w:rPr>
            </w:pPr>
            <w:proofErr w:type="gramStart"/>
            <w:r>
              <w:rPr>
                <w:rStyle w:val="Forte"/>
                <w:rFonts w:ascii="Cambria Math" w:hAnsi="Cambria Math" w:cs="Cambria Math"/>
              </w:rPr>
              <w:t>⇒ Químico</w:t>
            </w:r>
            <w:proofErr w:type="gramEnd"/>
            <w:r>
              <w:rPr>
                <w:rStyle w:val="Forte"/>
                <w:rFonts w:ascii="Cambria Math" w:hAnsi="Cambria Math" w:cs="Cambria Math"/>
              </w:rPr>
              <w:t>:</w:t>
            </w:r>
          </w:p>
          <w:p w:rsidR="00E32ADC" w:rsidRPr="00E32ADC" w:rsidRDefault="00E32ADC" w:rsidP="00E32ADC">
            <w:pPr>
              <w:pStyle w:val="NormalWeb"/>
              <w:rPr>
                <w:rStyle w:val="Forte"/>
                <w:rFonts w:ascii="Cambria Math" w:hAnsi="Cambria Math" w:cs="Cambria Math"/>
                <w:b w:val="0"/>
              </w:rPr>
            </w:pPr>
            <w:r w:rsidRPr="00E32ADC">
              <w:rPr>
                <w:rStyle w:val="Forte"/>
                <w:rFonts w:ascii="Cambria Math" w:hAnsi="Cambria Math" w:cs="Cambria Math"/>
                <w:b w:val="0"/>
              </w:rPr>
              <w:t xml:space="preserve">Agente sem previsão no anexo IV dos Decretos nº 2.172/97 e nº 3.048/99. Ademais, </w:t>
            </w:r>
            <w:proofErr w:type="spellStart"/>
            <w:r w:rsidRPr="00E32ADC">
              <w:rPr>
                <w:rStyle w:val="Forte"/>
                <w:rFonts w:ascii="Cambria Math" w:hAnsi="Cambria Math" w:cs="Cambria Math"/>
                <w:b w:val="0"/>
              </w:rPr>
              <w:t>agente</w:t>
            </w:r>
            <w:proofErr w:type="spellEnd"/>
            <w:r w:rsidRPr="00E32ADC">
              <w:rPr>
                <w:rStyle w:val="Forte"/>
                <w:rFonts w:ascii="Cambria Math" w:hAnsi="Cambria Math" w:cs="Cambria Math"/>
                <w:b w:val="0"/>
              </w:rPr>
              <w:t xml:space="preserve"> sem previsão nos anexos 11, 12 ou 13 da NR-15.</w:t>
            </w:r>
          </w:p>
          <w:p w:rsidR="00E32ADC" w:rsidRPr="00E32ADC" w:rsidRDefault="00E32ADC" w:rsidP="00E32ADC">
            <w:pPr>
              <w:pStyle w:val="NormalWeb"/>
              <w:rPr>
                <w:rStyle w:val="Forte"/>
                <w:rFonts w:ascii="Cambria Math" w:hAnsi="Cambria Math" w:cs="Cambria Math"/>
                <w:b w:val="0"/>
              </w:rPr>
            </w:pPr>
            <w:r w:rsidRPr="00E32ADC">
              <w:rPr>
                <w:rStyle w:val="Forte"/>
                <w:rFonts w:ascii="Cambria Math" w:hAnsi="Cambria Math" w:cs="Cambria Math"/>
                <w:b w:val="0"/>
              </w:rPr>
              <w:lastRenderedPageBreak/>
              <w:t xml:space="preserve">1. Da análise da </w:t>
            </w:r>
            <w:proofErr w:type="spellStart"/>
            <w:r w:rsidRPr="00E32ADC">
              <w:rPr>
                <w:rStyle w:val="Forte"/>
                <w:rFonts w:ascii="Cambria Math" w:hAnsi="Cambria Math" w:cs="Cambria Math"/>
                <w:b w:val="0"/>
              </w:rPr>
              <w:t>profissiografia</w:t>
            </w:r>
            <w:proofErr w:type="spellEnd"/>
            <w:r w:rsidRPr="00E32ADC">
              <w:rPr>
                <w:rStyle w:val="Forte"/>
                <w:rFonts w:ascii="Cambria Math" w:hAnsi="Cambria Math" w:cs="Cambria Math"/>
                <w:b w:val="0"/>
              </w:rPr>
              <w:t xml:space="preserve"> e do setor de trabalho da parte autora, não há como concluir pela exposição permanente, não ocasional nem intermitente, aos produtos químicos mencionados no formulário. Com efeito, as vias de absorção, os meios de contato, a duração e a frequência da exposição àqueles produtos não estão devidamente caracterizados pela análise das atividades e do ambiente de trabalho descritos no formulário (art. 68, §2º do RPS).</w:t>
            </w:r>
          </w:p>
          <w:p w:rsidR="00E32ADC" w:rsidRPr="00E32ADC" w:rsidRDefault="00E32ADC" w:rsidP="00E32ADC">
            <w:pPr>
              <w:pStyle w:val="NormalWeb"/>
              <w:rPr>
                <w:rStyle w:val="Forte"/>
                <w:rFonts w:ascii="Cambria Math" w:hAnsi="Cambria Math" w:cs="Cambria Math"/>
                <w:b w:val="0"/>
              </w:rPr>
            </w:pPr>
          </w:p>
          <w:p w:rsidR="00E32ADC" w:rsidRPr="00E32ADC" w:rsidRDefault="00E32ADC" w:rsidP="00E32ADC">
            <w:pPr>
              <w:pStyle w:val="NormalWeb"/>
              <w:rPr>
                <w:rStyle w:val="Forte"/>
                <w:rFonts w:ascii="Cambria Math" w:hAnsi="Cambria Math" w:cs="Cambria Math"/>
                <w:b w:val="0"/>
              </w:rPr>
            </w:pPr>
            <w:r w:rsidRPr="00E32ADC">
              <w:rPr>
                <w:rStyle w:val="Forte"/>
                <w:rFonts w:ascii="Cambria Math" w:hAnsi="Cambria Math" w:cs="Cambria Math"/>
                <w:b w:val="0"/>
              </w:rPr>
              <w:t>Por oportuno, e a título exemplificativo, o Anexo 11 da NR-15 menciona, excepcionalmente, quais dos agentes nele descritos seriam nocivos também através do contato dérmico, haja vista que a regra é que a nocividade ocorra pela absorção através das vias respiratórias.</w:t>
            </w:r>
          </w:p>
          <w:p w:rsidR="00E32ADC" w:rsidRPr="00E32ADC" w:rsidRDefault="00E32ADC" w:rsidP="00E32ADC">
            <w:pPr>
              <w:pStyle w:val="NormalWeb"/>
              <w:rPr>
                <w:rStyle w:val="Forte"/>
                <w:rFonts w:ascii="Cambria Math" w:hAnsi="Cambria Math" w:cs="Cambria Math"/>
                <w:b w:val="0"/>
              </w:rPr>
            </w:pPr>
          </w:p>
          <w:p w:rsidR="00E32ADC" w:rsidRPr="00E32ADC" w:rsidRDefault="00E32ADC" w:rsidP="00E32ADC">
            <w:pPr>
              <w:pStyle w:val="NormalWeb"/>
              <w:rPr>
                <w:rStyle w:val="Forte"/>
                <w:rFonts w:ascii="Cambria Math" w:hAnsi="Cambria Math" w:cs="Cambria Math"/>
                <w:b w:val="0"/>
              </w:rPr>
            </w:pPr>
            <w:r w:rsidRPr="00E32ADC">
              <w:rPr>
                <w:rStyle w:val="Forte"/>
                <w:rFonts w:ascii="Cambria Math" w:hAnsi="Cambria Math" w:cs="Cambria Math"/>
                <w:b w:val="0"/>
              </w:rPr>
              <w:t>2. Após 01/01/2004: A técnica utilizada para a aferição está em desacordo com a legislação de regência. Com efeito, a partir de 01/01/2004, devem-se observar as metodologias das NHO-02, NHO-03, NHO-04 e NHO-07 da FUNDACENTRO.</w:t>
            </w:r>
          </w:p>
          <w:p w:rsidR="00E32ADC" w:rsidRPr="00E32ADC" w:rsidRDefault="00E32ADC" w:rsidP="00E32ADC">
            <w:pPr>
              <w:pStyle w:val="NormalWeb"/>
              <w:rPr>
                <w:rStyle w:val="Forte"/>
                <w:rFonts w:ascii="Cambria Math" w:hAnsi="Cambria Math" w:cs="Cambria Math"/>
                <w:b w:val="0"/>
              </w:rPr>
            </w:pPr>
          </w:p>
          <w:p w:rsidR="00E32ADC" w:rsidRPr="00E32ADC" w:rsidRDefault="00E32ADC" w:rsidP="00E32ADC">
            <w:pPr>
              <w:pStyle w:val="NormalWeb"/>
              <w:rPr>
                <w:rStyle w:val="Forte"/>
                <w:rFonts w:ascii="Cambria Math" w:hAnsi="Cambria Math" w:cs="Cambria Math"/>
                <w:b w:val="0"/>
              </w:rPr>
            </w:pPr>
            <w:r w:rsidRPr="00E32ADC">
              <w:rPr>
                <w:rStyle w:val="Forte"/>
                <w:rFonts w:ascii="Cambria Math" w:hAnsi="Cambria Math" w:cs="Cambria Math"/>
                <w:b w:val="0"/>
              </w:rPr>
              <w:t>3. Após 14/10/1996: Não há responsável pelos registros ambientais no período, exigível desde 14/10/1996 (MP nº 1.523/96 e Tema 208/TNU).</w:t>
            </w:r>
          </w:p>
          <w:p w:rsidR="00E32ADC" w:rsidRPr="00E32ADC" w:rsidRDefault="00E32ADC" w:rsidP="00E32ADC">
            <w:pPr>
              <w:pStyle w:val="NormalWeb"/>
              <w:rPr>
                <w:rStyle w:val="Forte"/>
                <w:rFonts w:ascii="Cambria Math" w:hAnsi="Cambria Math" w:cs="Cambria Math"/>
                <w:b w:val="0"/>
              </w:rPr>
            </w:pPr>
          </w:p>
          <w:p w:rsidR="00CB0B78" w:rsidRDefault="00E32ADC" w:rsidP="00E32ADC">
            <w:pPr>
              <w:pStyle w:val="NormalWeb"/>
              <w:ind w:left="720"/>
            </w:pPr>
            <w:r w:rsidRPr="00E32ADC">
              <w:rPr>
                <w:rStyle w:val="Forte"/>
                <w:rFonts w:ascii="Cambria Math" w:hAnsi="Cambria Math" w:cs="Cambria Math"/>
                <w:b w:val="0"/>
              </w:rPr>
              <w:t>4. A partir de 03/12/1998: Não há informação no PPP sobre a disponibilização de EPI.</w:t>
            </w:r>
          </w:p>
        </w:tc>
      </w:tr>
    </w:tbl>
    <w:p w:rsidR="005100A9" w:rsidRDefault="005100A9" w:rsidP="005100A9">
      <w:pPr>
        <w:pStyle w:val="Ttulo3"/>
        <w:rPr>
          <w:color w:val="auto"/>
        </w:rPr>
      </w:pPr>
    </w:p>
    <w:p w:rsidR="005100A9" w:rsidRDefault="005100A9" w:rsidP="005100A9">
      <w:pPr>
        <w:pStyle w:val="Ttulo3"/>
        <w:rPr>
          <w:color w:val="auto"/>
        </w:rPr>
      </w:pPr>
    </w:p>
    <w:p w:rsidR="005100A9" w:rsidRPr="005100A9" w:rsidRDefault="005100A9" w:rsidP="005100A9">
      <w:pPr>
        <w:pStyle w:val="Ttulo3"/>
        <w:rPr>
          <w:b/>
        </w:rPr>
      </w:pPr>
      <w:r w:rsidRPr="005100A9">
        <w:rPr>
          <w:b/>
          <w:color w:val="auto"/>
        </w:rPr>
        <w:t>RUÍDO-TESE GERAL</w:t>
      </w:r>
    </w:p>
    <w:p w:rsidR="005100A9" w:rsidRDefault="005100A9" w:rsidP="005100A9">
      <w:pPr>
        <w:pStyle w:val="NormalWeb"/>
        <w:numPr>
          <w:ilvl w:val="0"/>
          <w:numId w:val="2"/>
        </w:numPr>
      </w:pPr>
      <w:r>
        <w:t>O reconhecimento da atividade especial depende da comprovação da exposição habitual e permanente ao agente nocivo.</w:t>
      </w:r>
    </w:p>
    <w:p w:rsidR="005100A9" w:rsidRDefault="005100A9" w:rsidP="005100A9">
      <w:pPr>
        <w:pStyle w:val="NormalWeb"/>
        <w:numPr>
          <w:ilvl w:val="0"/>
          <w:numId w:val="2"/>
        </w:numPr>
      </w:pPr>
      <w:r>
        <w:t>A intensidade do ruído deve observar os limites de tolerância vigentes em cada período trabalhado, conforme a legislação aplicável à época.</w:t>
      </w:r>
    </w:p>
    <w:p w:rsidR="005100A9" w:rsidRDefault="005100A9" w:rsidP="005100A9">
      <w:pPr>
        <w:pStyle w:val="NormalWeb"/>
        <w:numPr>
          <w:ilvl w:val="0"/>
          <w:numId w:val="2"/>
        </w:numPr>
      </w:pPr>
      <w:r>
        <w:t>A utilização de Equipamento de Proteção Individual (EPI), por si só, não afasta automaticamente a especialidade da atividade em razão da exposição ao ruído, conforme entendimento consolidado do Supremo Tribunal Federal.</w:t>
      </w:r>
    </w:p>
    <w:p w:rsidR="005100A9" w:rsidRDefault="005100A9" w:rsidP="005100A9">
      <w:pPr>
        <w:pStyle w:val="NormalWeb"/>
        <w:numPr>
          <w:ilvl w:val="0"/>
          <w:numId w:val="2"/>
        </w:numPr>
      </w:pPr>
      <w:r>
        <w:t xml:space="preserve">O Perfil </w:t>
      </w:r>
      <w:proofErr w:type="spellStart"/>
      <w:r>
        <w:t>Profissiográfico</w:t>
      </w:r>
      <w:proofErr w:type="spellEnd"/>
      <w:r>
        <w:t xml:space="preserve"> Previdenciário (PPP), quando embasado em Laudo Técnico de Condições Ambientais do Trabalho (LTCAT) ou outro laudo técnico idôneo, constitui prova apta da exposição ao agente nocivo.</w:t>
      </w:r>
    </w:p>
    <w:p w:rsidR="005100A9" w:rsidRPr="005100A9" w:rsidRDefault="00E32ADC" w:rsidP="005100A9">
      <w:pPr>
        <w:pStyle w:val="NormalWeb"/>
        <w:ind w:left="720"/>
        <w:rPr>
          <w:b/>
        </w:rPr>
      </w:pPr>
      <w:r>
        <w:rPr>
          <w:b/>
        </w:rPr>
        <w:t>QUÍMICO</w:t>
      </w:r>
      <w:r w:rsidR="005100A9" w:rsidRPr="005100A9">
        <w:rPr>
          <w:b/>
        </w:rPr>
        <w:t>-TESE GERAL</w:t>
      </w:r>
    </w:p>
    <w:p w:rsidR="00E32ADC" w:rsidRDefault="00E32ADC" w:rsidP="00E32ADC">
      <w:pPr>
        <w:pStyle w:val="NormalWeb"/>
      </w:pPr>
      <w:r>
        <w:lastRenderedPageBreak/>
        <w:t xml:space="preserve">Segue uma </w:t>
      </w:r>
      <w:r>
        <w:rPr>
          <w:rStyle w:val="Forte"/>
        </w:rPr>
        <w:t>tese geral de agente químico</w:t>
      </w:r>
      <w:r>
        <w:t xml:space="preserve"> em modelo semelhante às anteriores:</w:t>
      </w:r>
    </w:p>
    <w:p w:rsidR="00E32ADC" w:rsidRDefault="00E32ADC" w:rsidP="00E32ADC">
      <w:pPr>
        <w:pStyle w:val="NormalWeb"/>
      </w:pPr>
      <w:r>
        <w:rPr>
          <w:rStyle w:val="Forte"/>
        </w:rPr>
        <w:t>Agente Químico</w:t>
      </w:r>
    </w:p>
    <w:p w:rsidR="00E32ADC" w:rsidRDefault="00E32ADC" w:rsidP="00E32ADC">
      <w:pPr>
        <w:pStyle w:val="NormalWeb"/>
      </w:pPr>
      <w:r>
        <w:t xml:space="preserve">Requer o reconhecimento da especialidade das atividades exercidas em razão da exposição habitual e permanente a agentes químicos nocivos à saúde, nos termos da legislação previdenciária vigente. A caracterização da atividade especial depende da comprovação da efetiva exposição aos agentes químicos previstos na legislação, por meio de Perfil </w:t>
      </w:r>
      <w:proofErr w:type="spellStart"/>
      <w:r>
        <w:t>Profissiográfico</w:t>
      </w:r>
      <w:proofErr w:type="spellEnd"/>
      <w:r>
        <w:t xml:space="preserve"> Previdenciário (PPP), Laudo Técnico das Condições Ambientais do Trabalho (LTCAT) ou outros documentos técnicos idôneos.</w:t>
      </w:r>
    </w:p>
    <w:p w:rsidR="00E32ADC" w:rsidRDefault="00E32ADC" w:rsidP="00E32ADC">
      <w:pPr>
        <w:pStyle w:val="NormalWeb"/>
      </w:pPr>
      <w:r>
        <w:t>A utilização de Equipamento de Proteção Individual (EPI), por si só, não afasta o reconhecimento da especialidade quando não demonstrada sua efetiva capacidade de neutralizar ou eliminar os efeitos nocivos da exposição. Comprovada a exposição aos agentes químicos em condições habituais e permanentes, faz jus o segurado ao enquadramento do período como especial, com a respectiva averbação para todos os fins previdenciários.</w:t>
      </w:r>
    </w:p>
    <w:p w:rsidR="00E32ADC" w:rsidRDefault="00E32ADC" w:rsidP="00E32ADC">
      <w:pPr>
        <w:pStyle w:val="NormalWeb"/>
      </w:pPr>
      <w:r>
        <w:t>Diante do exposto, requer o reconhecimento e a averbação do período laborado sob exposição a agentes químicos, com todos os efeitos legais e previdenciários cabíveis.</w:t>
      </w:r>
    </w:p>
    <w:p w:rsidR="003161B9" w:rsidRDefault="003161B9" w:rsidP="003161B9">
      <w:pPr>
        <w:pStyle w:val="NormalWeb"/>
      </w:pPr>
      <w:r>
        <w:t xml:space="preserve">Diante disso, requer seja reconhecido e averbado como especial o período laborado sob exposição a </w:t>
      </w:r>
      <w:proofErr w:type="gramStart"/>
      <w:r>
        <w:t>agentes</w:t>
      </w:r>
      <w:proofErr w:type="gramEnd"/>
      <w:r>
        <w:t xml:space="preserve"> biológicos, com todos os efeitos previdenciários e legais cabíveis.</w:t>
      </w:r>
    </w:p>
    <w:p w:rsidR="00CB0B78" w:rsidRDefault="00E32ADC">
      <w:pPr>
        <w:spacing w:before="200" w:after="100"/>
      </w:pPr>
      <w:r>
        <w:rPr>
          <w:b/>
          <w:bCs/>
          <w:caps/>
        </w:rPr>
        <w:t>I</w:t>
      </w:r>
      <w:r>
        <w:rPr>
          <w:b/>
          <w:bCs/>
          <w:caps/>
        </w:rPr>
        <w:t>V - Outros Fundamentos</w:t>
      </w:r>
    </w:p>
    <w:p w:rsidR="00CB0B78" w:rsidRDefault="00E32ADC">
      <w:pPr>
        <w:spacing w:after="120" w:line="276" w:lineRule="auto"/>
        <w:ind w:firstLine="567"/>
        <w:jc w:val="both"/>
      </w:pPr>
      <w:r>
        <w:t>Fica vedada a conversão de tempo especial em comum para períodos posteriores a 13/11/2019 (Art. 25, §2º, da Emenda Constitucional nº 103/2019 c/</w:t>
      </w:r>
      <w:proofErr w:type="gramStart"/>
      <w:r>
        <w:t>c</w:t>
      </w:r>
      <w:proofErr w:type="gramEnd"/>
      <w:r>
        <w:t xml:space="preserve"> Art. 188-P, §5º, do Decreto nº 3.048/99).</w:t>
      </w:r>
    </w:p>
    <w:p w:rsidR="00CB0B78" w:rsidRDefault="00E32ADC">
      <w:pPr>
        <w:spacing w:before="200" w:after="100"/>
      </w:pPr>
      <w:r>
        <w:rPr>
          <w:b/>
          <w:bCs/>
          <w:caps/>
        </w:rPr>
        <w:t>V - Dos Pedidos</w:t>
      </w:r>
    </w:p>
    <w:p w:rsidR="005100A9" w:rsidRDefault="00E32ADC" w:rsidP="005100A9">
      <w:pPr>
        <w:spacing w:after="120" w:line="276" w:lineRule="auto"/>
        <w:ind w:firstLine="567"/>
        <w:jc w:val="both"/>
      </w:pPr>
      <w:r>
        <w:t>Ante o exposto, requer o INSS:</w:t>
      </w:r>
    </w:p>
    <w:p w:rsidR="005100A9" w:rsidRPr="005100A9" w:rsidRDefault="005100A9" w:rsidP="005100A9">
      <w:pPr>
        <w:spacing w:after="120" w:line="276" w:lineRule="auto"/>
        <w:ind w:firstLine="567"/>
        <w:jc w:val="both"/>
        <w:rPr>
          <w:b/>
        </w:rPr>
      </w:pPr>
      <w:r w:rsidRPr="005100A9">
        <w:rPr>
          <w:b/>
        </w:rPr>
        <w:t>AVERBAÇÃO</w:t>
      </w:r>
    </w:p>
    <w:p w:rsidR="005100A9" w:rsidRDefault="005100A9" w:rsidP="005100A9">
      <w:pPr>
        <w:spacing w:after="120" w:line="276" w:lineRule="auto"/>
        <w:ind w:firstLine="567"/>
        <w:jc w:val="both"/>
      </w:pPr>
      <w:r>
        <w:rPr>
          <w:rStyle w:val="Forte"/>
        </w:rPr>
        <w:t>Requer a averbação do período reconhecido como especial, com a devida conversão (quando cabível), para fins de revisão/concessão do benefício previdenciário, determinando-se ao INSS que proceda às anotações e averbações necessárias em seus registros, para todos os efeitos legais.</w:t>
      </w:r>
    </w:p>
    <w:p w:rsidR="00CB0B78" w:rsidRDefault="00E32ADC">
      <w:pPr>
        <w:spacing w:after="60"/>
      </w:pPr>
      <w:r>
        <w:t>a) o acolhimento das preliminares arguidas;</w:t>
      </w:r>
    </w:p>
    <w:p w:rsidR="00CB0B78" w:rsidRDefault="00E32ADC">
      <w:pPr>
        <w:spacing w:after="60"/>
      </w:pPr>
      <w:r>
        <w:t>b) no mérito, a total improcedência dos pedidos;</w:t>
      </w:r>
    </w:p>
    <w:p w:rsidR="00CB0B78" w:rsidRDefault="00E32ADC">
      <w:pPr>
        <w:spacing w:after="160"/>
      </w:pPr>
      <w:r>
        <w:t>c) subsidiariamente, caso reconhecida alguma especialidade, que seja observada a vedação à conversão após 13/11/2019.</w:t>
      </w:r>
    </w:p>
    <w:p w:rsidR="00CB0B78" w:rsidRDefault="00E32ADC">
      <w:pPr>
        <w:spacing w:after="240" w:line="276" w:lineRule="auto"/>
        <w:ind w:firstLine="567"/>
        <w:jc w:val="both"/>
      </w:pPr>
      <w:r>
        <w:t>Nestes termos, pede deferimento.</w:t>
      </w:r>
    </w:p>
    <w:p w:rsidR="00CB0B78" w:rsidRDefault="00E32ADC">
      <w:pPr>
        <w:spacing w:after="480"/>
        <w:jc w:val="right"/>
      </w:pPr>
      <w:r>
        <w:t>São Paulo, 28</w:t>
      </w:r>
      <w:r w:rsidR="004929D3">
        <w:t xml:space="preserve"> de </w:t>
      </w:r>
      <w:r>
        <w:t>outubro de 2025</w:t>
      </w:r>
      <w:r>
        <w:t>.</w:t>
      </w:r>
    </w:p>
    <w:p w:rsidR="00CB0B78" w:rsidRDefault="00E32ADC">
      <w:pPr>
        <w:jc w:val="center"/>
      </w:pPr>
      <w:r>
        <w:t>_______________________________________</w:t>
      </w:r>
    </w:p>
    <w:p w:rsidR="00CB0B78" w:rsidRDefault="00E32ADC">
      <w:pPr>
        <w:jc w:val="center"/>
      </w:pPr>
      <w:r>
        <w:t>Procurador Federal</w:t>
      </w:r>
    </w:p>
    <w:sectPr w:rsidR="00CB0B78">
      <w:pgSz w:w="11906" w:h="16838"/>
      <w:pgMar w:top="1440" w:right="1134" w:bottom="144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868A5"/>
    <w:multiLevelType w:val="multilevel"/>
    <w:tmpl w:val="AE00D8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A386C"/>
    <w:multiLevelType w:val="multilevel"/>
    <w:tmpl w:val="A838F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35665"/>
    <w:multiLevelType w:val="multilevel"/>
    <w:tmpl w:val="5D782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64C4D"/>
    <w:multiLevelType w:val="multilevel"/>
    <w:tmpl w:val="D37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B45F8"/>
    <w:multiLevelType w:val="multilevel"/>
    <w:tmpl w:val="E5C2EA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B74A8"/>
    <w:multiLevelType w:val="hybridMultilevel"/>
    <w:tmpl w:val="60483260"/>
    <w:lvl w:ilvl="0" w:tplc="E94A43A0">
      <w:start w:val="1"/>
      <w:numFmt w:val="bullet"/>
      <w:lvlText w:val="●"/>
      <w:lvlJc w:val="left"/>
      <w:pPr>
        <w:ind w:left="720" w:hanging="360"/>
      </w:pPr>
    </w:lvl>
    <w:lvl w:ilvl="1" w:tplc="A3A0CCBC">
      <w:start w:val="1"/>
      <w:numFmt w:val="bullet"/>
      <w:lvlText w:val="○"/>
      <w:lvlJc w:val="left"/>
      <w:pPr>
        <w:ind w:left="1440" w:hanging="360"/>
      </w:pPr>
    </w:lvl>
    <w:lvl w:ilvl="2" w:tplc="BE8EF1F4">
      <w:start w:val="1"/>
      <w:numFmt w:val="bullet"/>
      <w:lvlText w:val="■"/>
      <w:lvlJc w:val="left"/>
      <w:pPr>
        <w:ind w:left="2160" w:hanging="360"/>
      </w:pPr>
    </w:lvl>
    <w:lvl w:ilvl="3" w:tplc="C77C7126">
      <w:start w:val="1"/>
      <w:numFmt w:val="bullet"/>
      <w:lvlText w:val="●"/>
      <w:lvlJc w:val="left"/>
      <w:pPr>
        <w:ind w:left="2880" w:hanging="360"/>
      </w:pPr>
    </w:lvl>
    <w:lvl w:ilvl="4" w:tplc="3D6E2E86">
      <w:start w:val="1"/>
      <w:numFmt w:val="bullet"/>
      <w:lvlText w:val="○"/>
      <w:lvlJc w:val="left"/>
      <w:pPr>
        <w:ind w:left="3600" w:hanging="360"/>
      </w:pPr>
    </w:lvl>
    <w:lvl w:ilvl="5" w:tplc="22FC698C">
      <w:start w:val="1"/>
      <w:numFmt w:val="bullet"/>
      <w:lvlText w:val="■"/>
      <w:lvlJc w:val="left"/>
      <w:pPr>
        <w:ind w:left="4320" w:hanging="360"/>
      </w:pPr>
    </w:lvl>
    <w:lvl w:ilvl="6" w:tplc="830CCA12">
      <w:start w:val="1"/>
      <w:numFmt w:val="bullet"/>
      <w:lvlText w:val="●"/>
      <w:lvlJc w:val="left"/>
      <w:pPr>
        <w:ind w:left="5040" w:hanging="360"/>
      </w:pPr>
    </w:lvl>
    <w:lvl w:ilvl="7" w:tplc="B7FCAEF6">
      <w:start w:val="1"/>
      <w:numFmt w:val="bullet"/>
      <w:lvlText w:val="●"/>
      <w:lvlJc w:val="left"/>
      <w:pPr>
        <w:ind w:left="5760" w:hanging="360"/>
      </w:pPr>
    </w:lvl>
    <w:lvl w:ilvl="8" w:tplc="C7B4E944">
      <w:start w:val="1"/>
      <w:numFmt w:val="bullet"/>
      <w:lvlText w:val="●"/>
      <w:lvlJc w:val="left"/>
      <w:pPr>
        <w:ind w:left="6480" w:hanging="360"/>
      </w:pPr>
    </w:lvl>
  </w:abstractNum>
  <w:abstractNum w:abstractNumId="6" w15:restartNumberingAfterBreak="0">
    <w:nsid w:val="26ED1A16"/>
    <w:multiLevelType w:val="multilevel"/>
    <w:tmpl w:val="D76E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00480"/>
    <w:multiLevelType w:val="multilevel"/>
    <w:tmpl w:val="A78E64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6D10E6"/>
    <w:multiLevelType w:val="multilevel"/>
    <w:tmpl w:val="159C8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B230F6"/>
    <w:multiLevelType w:val="multilevel"/>
    <w:tmpl w:val="211A66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8251C1"/>
    <w:multiLevelType w:val="multilevel"/>
    <w:tmpl w:val="43E885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1D5E32"/>
    <w:multiLevelType w:val="multilevel"/>
    <w:tmpl w:val="EB3A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D7771"/>
    <w:multiLevelType w:val="multilevel"/>
    <w:tmpl w:val="16D8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3234E"/>
    <w:multiLevelType w:val="multilevel"/>
    <w:tmpl w:val="416A03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CE2BF9"/>
    <w:multiLevelType w:val="multilevel"/>
    <w:tmpl w:val="608E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557F90"/>
    <w:multiLevelType w:val="multilevel"/>
    <w:tmpl w:val="14E0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FD32AF"/>
    <w:multiLevelType w:val="multilevel"/>
    <w:tmpl w:val="641E49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A8145F"/>
    <w:multiLevelType w:val="multilevel"/>
    <w:tmpl w:val="83B2D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0105F3"/>
    <w:multiLevelType w:val="multilevel"/>
    <w:tmpl w:val="BA5C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352ED5"/>
    <w:multiLevelType w:val="multilevel"/>
    <w:tmpl w:val="A5960F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D304DF"/>
    <w:multiLevelType w:val="multilevel"/>
    <w:tmpl w:val="29AE3B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395B43"/>
    <w:multiLevelType w:val="multilevel"/>
    <w:tmpl w:val="E12AAA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E576C2"/>
    <w:multiLevelType w:val="multilevel"/>
    <w:tmpl w:val="7B443D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E40308"/>
    <w:multiLevelType w:val="multilevel"/>
    <w:tmpl w:val="D244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F1E4B"/>
    <w:multiLevelType w:val="multilevel"/>
    <w:tmpl w:val="BE9A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35129E"/>
    <w:multiLevelType w:val="multilevel"/>
    <w:tmpl w:val="CF4A0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69580E"/>
    <w:multiLevelType w:val="multilevel"/>
    <w:tmpl w:val="B036A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543327"/>
    <w:multiLevelType w:val="multilevel"/>
    <w:tmpl w:val="353C8E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lvlOverride w:ilvl="0">
      <w:startOverride w:val="1"/>
    </w:lvlOverride>
  </w:num>
  <w:num w:numId="2">
    <w:abstractNumId w:val="3"/>
  </w:num>
  <w:num w:numId="3">
    <w:abstractNumId w:val="23"/>
  </w:num>
  <w:num w:numId="4">
    <w:abstractNumId w:val="25"/>
  </w:num>
  <w:num w:numId="5">
    <w:abstractNumId w:val="1"/>
  </w:num>
  <w:num w:numId="6">
    <w:abstractNumId w:val="17"/>
  </w:num>
  <w:num w:numId="7">
    <w:abstractNumId w:val="18"/>
  </w:num>
  <w:num w:numId="8">
    <w:abstractNumId w:val="12"/>
  </w:num>
  <w:num w:numId="9">
    <w:abstractNumId w:val="2"/>
  </w:num>
  <w:num w:numId="10">
    <w:abstractNumId w:val="27"/>
  </w:num>
  <w:num w:numId="11">
    <w:abstractNumId w:val="4"/>
  </w:num>
  <w:num w:numId="12">
    <w:abstractNumId w:val="15"/>
  </w:num>
  <w:num w:numId="13">
    <w:abstractNumId w:val="19"/>
  </w:num>
  <w:num w:numId="14">
    <w:abstractNumId w:val="10"/>
  </w:num>
  <w:num w:numId="15">
    <w:abstractNumId w:val="26"/>
  </w:num>
  <w:num w:numId="16">
    <w:abstractNumId w:val="20"/>
  </w:num>
  <w:num w:numId="17">
    <w:abstractNumId w:val="13"/>
  </w:num>
  <w:num w:numId="18">
    <w:abstractNumId w:val="6"/>
  </w:num>
  <w:num w:numId="19">
    <w:abstractNumId w:val="11"/>
  </w:num>
  <w:num w:numId="20">
    <w:abstractNumId w:val="22"/>
  </w:num>
  <w:num w:numId="21">
    <w:abstractNumId w:val="21"/>
  </w:num>
  <w:num w:numId="22">
    <w:abstractNumId w:val="0"/>
  </w:num>
  <w:num w:numId="23">
    <w:abstractNumId w:val="14"/>
  </w:num>
  <w:num w:numId="24">
    <w:abstractNumId w:val="16"/>
  </w:num>
  <w:num w:numId="25">
    <w:abstractNumId w:val="7"/>
  </w:num>
  <w:num w:numId="26">
    <w:abstractNumId w:val="24"/>
  </w:num>
  <w:num w:numId="27">
    <w:abstractNumId w:val="8"/>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B78"/>
    <w:rsid w:val="003161B9"/>
    <w:rsid w:val="00344B2D"/>
    <w:rsid w:val="00351A92"/>
    <w:rsid w:val="00490E3B"/>
    <w:rsid w:val="004929D3"/>
    <w:rsid w:val="004A7E3D"/>
    <w:rsid w:val="004C3A7C"/>
    <w:rsid w:val="005100A9"/>
    <w:rsid w:val="005210DB"/>
    <w:rsid w:val="00CB0B78"/>
    <w:rsid w:val="00E32ADC"/>
    <w:rsid w:val="00EB2130"/>
    <w:rsid w:val="00EE5D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19CD6"/>
  <w15:docId w15:val="{20547EF8-5F51-4A20-A47D-A6769397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NormalWeb">
    <w:name w:val="Normal (Web)"/>
    <w:basedOn w:val="Normal"/>
    <w:uiPriority w:val="99"/>
    <w:unhideWhenUsed/>
    <w:rsid w:val="005100A9"/>
    <w:pPr>
      <w:spacing w:before="100" w:beforeAutospacing="1" w:after="100" w:afterAutospacing="1"/>
    </w:pPr>
  </w:style>
  <w:style w:type="character" w:styleId="Forte">
    <w:name w:val="Strong"/>
    <w:basedOn w:val="Fontepargpadro"/>
    <w:uiPriority w:val="22"/>
    <w:qFormat/>
    <w:rsid w:val="005100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388888">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680550274">
      <w:bodyDiv w:val="1"/>
      <w:marLeft w:val="0"/>
      <w:marRight w:val="0"/>
      <w:marTop w:val="0"/>
      <w:marBottom w:val="0"/>
      <w:divBdr>
        <w:top w:val="none" w:sz="0" w:space="0" w:color="auto"/>
        <w:left w:val="none" w:sz="0" w:space="0" w:color="auto"/>
        <w:bottom w:val="none" w:sz="0" w:space="0" w:color="auto"/>
        <w:right w:val="none" w:sz="0" w:space="0" w:color="auto"/>
      </w:divBdr>
    </w:div>
    <w:div w:id="1019742598">
      <w:bodyDiv w:val="1"/>
      <w:marLeft w:val="0"/>
      <w:marRight w:val="0"/>
      <w:marTop w:val="0"/>
      <w:marBottom w:val="0"/>
      <w:divBdr>
        <w:top w:val="none" w:sz="0" w:space="0" w:color="auto"/>
        <w:left w:val="none" w:sz="0" w:space="0" w:color="auto"/>
        <w:bottom w:val="none" w:sz="0" w:space="0" w:color="auto"/>
        <w:right w:val="none" w:sz="0" w:space="0" w:color="auto"/>
      </w:divBdr>
    </w:div>
    <w:div w:id="1637907562">
      <w:bodyDiv w:val="1"/>
      <w:marLeft w:val="0"/>
      <w:marRight w:val="0"/>
      <w:marTop w:val="0"/>
      <w:marBottom w:val="0"/>
      <w:divBdr>
        <w:top w:val="none" w:sz="0" w:space="0" w:color="auto"/>
        <w:left w:val="none" w:sz="0" w:space="0" w:color="auto"/>
        <w:bottom w:val="none" w:sz="0" w:space="0" w:color="auto"/>
        <w:right w:val="none" w:sz="0" w:space="0" w:color="auto"/>
      </w:divBdr>
    </w:div>
    <w:div w:id="1675642057">
      <w:bodyDiv w:val="1"/>
      <w:marLeft w:val="0"/>
      <w:marRight w:val="0"/>
      <w:marTop w:val="0"/>
      <w:marBottom w:val="0"/>
      <w:divBdr>
        <w:top w:val="none" w:sz="0" w:space="0" w:color="auto"/>
        <w:left w:val="none" w:sz="0" w:space="0" w:color="auto"/>
        <w:bottom w:val="none" w:sz="0" w:space="0" w:color="auto"/>
        <w:right w:val="none" w:sz="0" w:space="0" w:color="auto"/>
      </w:divBdr>
    </w:div>
    <w:div w:id="1890650384">
      <w:bodyDiv w:val="1"/>
      <w:marLeft w:val="0"/>
      <w:marRight w:val="0"/>
      <w:marTop w:val="0"/>
      <w:marBottom w:val="0"/>
      <w:divBdr>
        <w:top w:val="none" w:sz="0" w:space="0" w:color="auto"/>
        <w:left w:val="none" w:sz="0" w:space="0" w:color="auto"/>
        <w:bottom w:val="none" w:sz="0" w:space="0" w:color="auto"/>
        <w:right w:val="none" w:sz="0" w:space="0" w:color="auto"/>
      </w:divBdr>
    </w:div>
    <w:div w:id="2003048634">
      <w:bodyDiv w:val="1"/>
      <w:marLeft w:val="0"/>
      <w:marRight w:val="0"/>
      <w:marTop w:val="0"/>
      <w:marBottom w:val="0"/>
      <w:divBdr>
        <w:top w:val="none" w:sz="0" w:space="0" w:color="auto"/>
        <w:left w:val="none" w:sz="0" w:space="0" w:color="auto"/>
        <w:bottom w:val="none" w:sz="0" w:space="0" w:color="auto"/>
        <w:right w:val="none" w:sz="0" w:space="0" w:color="auto"/>
      </w:divBdr>
    </w:div>
    <w:div w:id="2079597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1838</Words>
  <Characters>9930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Administrador</cp:lastModifiedBy>
  <cp:revision>2</cp:revision>
  <dcterms:created xsi:type="dcterms:W3CDTF">2026-06-28T21:23:00Z</dcterms:created>
  <dcterms:modified xsi:type="dcterms:W3CDTF">2026-06-28T21:23:00Z</dcterms:modified>
</cp:coreProperties>
</file>