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Arial" w:hAnsi="Arial"/>
          <w:b/>
          <w:sz w:val="34"/>
        </w:rPr>
        <w:t>ADGL Appendix D - Reference Toolkit, Conformance, and Evaluation</w:t>
      </w:r>
    </w:p>
    <w:p>
      <w:pPr>
        <w:spacing w:after="40"/>
        <w:jc w:val="center"/>
      </w:pPr>
      <w:r>
        <w:rPr>
          <w:rFonts w:ascii="Times New Roman" w:hAnsi="Times New Roman"/>
          <w:b/>
          <w:sz w:val="23"/>
        </w:rPr>
        <w:t>GBSN Research</w:t>
      </w:r>
    </w:p>
    <w:p>
      <w:pPr>
        <w:spacing w:after="40"/>
        <w:jc w:val="center"/>
      </w:pPr>
      <w:r>
        <w:t>Lisbon, Portugal | Correspondence: publications@gbsnresearch.com</w:t>
      </w:r>
    </w:p>
    <w:p>
      <w:pPr>
        <w:spacing w:after="200"/>
        <w:jc w:val="center"/>
      </w:pPr>
      <w:r>
        <w:rPr>
          <w:i/>
          <w:color w:val="505050"/>
          <w:sz w:val="18"/>
        </w:rPr>
        <w:t>Academic preprint edition | Public Research Release 0.4.3</w:t>
      </w:r>
    </w:p>
    <w:p>
      <w:pPr>
        <w:spacing w:after="100" w:line="269" w:lineRule="auto"/>
      </w:pPr>
      <w:r>
        <w:t>Paper-evaluated Toolkit 0.5.0 | Current Public Toolkit 0.5.3 | Public Distribution 0.4.3</w:t>
      </w:r>
    </w:p>
    <w:p>
      <w:pPr>
        <w:pStyle w:val="Heading1"/>
        <w:keepNext/>
        <w:spacing w:before="240" w:after="80"/>
      </w:pPr>
      <w:r>
        <w:t>D.1 Purpose and Scope</w:t>
      </w:r>
    </w:p>
    <w:p>
      <w:pPr>
        <w:spacing w:after="100" w:line="269" w:lineRule="auto"/>
        <w:ind w:firstLine="312"/>
      </w:pPr>
      <w:r>
        <w:t>The ADGL Reference Toolkit is an executable research artifact intended to make the proposed semantic architecture inspectable, falsifiable, and reproducible. It is not a production governance service, does not contain a foundation model, does not retrieve enterprise data, and does not execute live external actions. Its role is to encode reference semantics, machine-readable schemas, test fixtures, conformance checks, and deterministic benchmark workloads.</w:t>
      </w:r>
    </w:p>
    <w:p>
      <w:pPr>
        <w:pStyle w:val="Heading1"/>
        <w:keepNext/>
        <w:spacing w:before="240" w:after="80"/>
      </w:pPr>
      <w:r>
        <w:t>D.2 Version Relationship</w:t>
      </w:r>
    </w:p>
    <w:p>
      <w:pPr>
        <w:spacing w:after="100" w:line="269" w:lineRule="auto"/>
        <w:ind w:firstLine="312"/>
      </w:pPr>
      <w:r>
        <w:t>Two implementation states must be distinguished. The v0.9 paper evaluated Reference Toolkit 0.5.0 and its 25 published normative conformance checks. The current public toolkit, 0.5.3, preserves that paper-era normative suite and adds 11 candidate execution-integrity checks (C26-C36) discovered during subsequent implementation hardening. Those candidate checks are evidence for the next specification revision; they are not retroactively represented as normative requirements of Core Semantic Specification 0.3.0.</w:t>
      </w:r>
    </w:p>
    <w:p>
      <w:pPr>
        <w:pStyle w:val="Heading1"/>
        <w:keepNext/>
        <w:spacing w:before="240" w:after="80"/>
      </w:pPr>
      <w:r>
        <w:t>D.3 Repository Structure and Implementation Status</w:t>
      </w:r>
    </w:p>
    <w:p>
      <w:pPr>
        <w:spacing w:after="140" w:line="240" w:lineRule="auto"/>
        <w:ind w:left="283" w:right="283"/>
      </w:pPr>
      <w:r>
        <w:rPr>
          <w:rFonts w:ascii="Liberation Mono" w:hAnsi="Liberation Mono"/>
          <w:sz w:val="17"/>
        </w:rPr>
        <w:t>adgl/              core and pipeline engines, analysis, consequence, audit</w:t>
        <w:br/>
        <w:t>schemas/           policy, knowledge, model, analysis-result, action, grant, profile</w:t>
        <w:br/>
        <w:t>examples/          eight executable reference cases</w:t>
        <w:br/>
        <w:t>profiles/          illustrative non-normative governance profiles</w:t>
        <w:br/>
        <w:t>conformance/       normative and candidate executable results</w:t>
        <w:br/>
        <w:t>benchmarks/        reproducible deterministic benchmark harness and results</w:t>
        <w:br/>
        <w:t>docs/              semantics, threat model, profiles, implementation status</w:t>
        <w:br/>
        <w:t>tests/             software regression tests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34"/>
        <w:gridCol w:w="4734"/>
      </w:tblGrid>
      <w:tr>
        <w:trPr>
          <w:tblHeader w:val="true"/>
          <w:tblHeader w:val="true"/>
        </w:trPr>
        <w:tc>
          <w:tcPr>
            <w:tcW w:type="dxa" w:w="4535"/>
            <w:shd w:fill="E7E6E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6"/>
              </w:rPr>
              <w:t>Capability</w:t>
            </w:r>
          </w:p>
        </w:tc>
        <w:tc>
          <w:tcPr>
            <w:tcW w:type="dxa" w:w="4535"/>
            <w:shd w:fill="E7E6E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6"/>
              </w:rPr>
              <w:t>Toolkit 0.5.3 status</w:t>
            </w:r>
          </w:p>
        </w:tc>
      </w:tr>
      <w:tr>
        <w:trPr>
          <w:cantSplit/>
        </w:trPr>
        <w:tc>
          <w:tcPr>
            <w:tcW w:type="dxa" w:w="453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Knowledge admission/lifecycle/evidence roles</w:t>
            </w:r>
          </w:p>
        </w:tc>
        <w:tc>
          <w:tcPr>
            <w:tcW w:type="dxa" w:w="453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Implemented core subset</w:t>
            </w:r>
          </w:p>
        </w:tc>
      </w:tr>
      <w:tr>
        <w:trPr>
          <w:cantSplit/>
        </w:trPr>
        <w:tc>
          <w:tcPr>
            <w:tcW w:type="dxa" w:w="453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Authority/priority/applicability</w:t>
            </w:r>
          </w:p>
        </w:tc>
        <w:tc>
          <w:tcPr>
            <w:tcW w:type="dxa" w:w="453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Implemented core subset</w:t>
            </w:r>
          </w:p>
        </w:tc>
      </w:tr>
      <w:tr>
        <w:trPr>
          <w:cantSplit/>
        </w:trPr>
        <w:tc>
          <w:tcPr>
            <w:tcW w:type="dxa" w:w="453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Derived restriction propagation</w:t>
            </w:r>
          </w:p>
        </w:tc>
        <w:tc>
          <w:tcPr>
            <w:tcW w:type="dxa" w:w="453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Implemented basic propagation</w:t>
            </w:r>
          </w:p>
        </w:tc>
      </w:tr>
      <w:tr>
        <w:trPr>
          <w:cantSplit/>
        </w:trPr>
        <w:tc>
          <w:tcPr>
            <w:tcW w:type="dxa" w:w="453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Model/processing-region eligibility</w:t>
            </w:r>
          </w:p>
        </w:tc>
        <w:tc>
          <w:tcPr>
            <w:tcW w:type="dxa" w:w="453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Implemented</w:t>
            </w:r>
          </w:p>
        </w:tc>
      </w:tr>
      <w:tr>
        <w:trPr>
          <w:cantSplit/>
        </w:trPr>
        <w:tc>
          <w:tcPr>
            <w:tcW w:type="dxa" w:w="453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Deterministic base policy composition</w:t>
            </w:r>
          </w:p>
        </w:tc>
        <w:tc>
          <w:tcPr>
            <w:tcW w:type="dxa" w:w="453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Implemented base precedence</w:t>
            </w:r>
          </w:p>
        </w:tc>
      </w:tr>
      <w:tr>
        <w:trPr>
          <w:cantSplit/>
        </w:trPr>
        <w:tc>
          <w:tcPr>
            <w:tcW w:type="dxa" w:w="453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Three-stage pipeline policy validation</w:t>
            </w:r>
          </w:p>
        </w:tc>
        <w:tc>
          <w:tcPr>
            <w:tcW w:type="dxa" w:w="453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Implemented schema + embedded core validation</w:t>
            </w:r>
          </w:p>
        </w:tc>
      </w:tr>
      <w:tr>
        <w:trPr>
          <w:cantSplit/>
        </w:trPr>
        <w:tc>
          <w:tcPr>
            <w:tcW w:type="dxa" w:w="453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Stage-qualified analytical transformations</w:t>
            </w:r>
          </w:p>
        </w:tc>
        <w:tc>
          <w:tcPr>
            <w:tcW w:type="dxa" w:w="453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Partial; legacy collection operations retained in core engine</w:t>
            </w:r>
          </w:p>
        </w:tc>
      </w:tr>
      <w:tr>
        <w:trPr>
          <w:cantSplit/>
        </w:trPr>
        <w:tc>
          <w:tcPr>
            <w:tcW w:type="dxa" w:w="453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Pipeline-native model/region stage placement</w:t>
            </w:r>
          </w:p>
        </w:tc>
        <w:tc>
          <w:tcPr>
            <w:tcW w:type="dxa" w:w="453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Partial; core-compatible routing reused</w:t>
            </w:r>
          </w:p>
        </w:tc>
      </w:tr>
      <w:tr>
        <w:trPr>
          <w:cantSplit/>
        </w:trPr>
        <w:tc>
          <w:tcPr>
            <w:tcW w:type="dxa" w:w="453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Analysis method allowlist</w:t>
            </w:r>
          </w:p>
        </w:tc>
        <w:tc>
          <w:tcPr>
            <w:tcW w:type="dxa" w:w="453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Implemented</w:t>
            </w:r>
          </w:p>
        </w:tc>
      </w:tr>
      <w:tr>
        <w:trPr>
          <w:cantSplit/>
        </w:trPr>
        <w:tc>
          <w:tcPr>
            <w:tcW w:type="dxa" w:w="453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Evidence sufficiency/corroboration</w:t>
            </w:r>
          </w:p>
        </w:tc>
        <w:tc>
          <w:tcPr>
            <w:tcW w:type="dxa" w:w="453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Implemented</w:t>
            </w:r>
          </w:p>
        </w:tc>
      </w:tr>
      <w:tr>
        <w:trPr>
          <w:cantSplit/>
        </w:trPr>
        <w:tc>
          <w:tcPr>
            <w:tcW w:type="dxa" w:w="453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No-infer-missing</w:t>
            </w:r>
          </w:p>
        </w:tc>
        <w:tc>
          <w:tcPr>
            <w:tcW w:type="dxa" w:w="453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Implemented</w:t>
            </w:r>
          </w:p>
        </w:tc>
      </w:tr>
      <w:tr>
        <w:trPr>
          <w:cantSplit/>
        </w:trPr>
        <w:tc>
          <w:tcPr>
            <w:tcW w:type="dxa" w:w="453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Human validation inside Analysis</w:t>
            </w:r>
          </w:p>
        </w:tc>
        <w:tc>
          <w:tcPr>
            <w:tcW w:type="dxa" w:w="453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Implemented basic gate</w:t>
            </w:r>
          </w:p>
        </w:tc>
      </w:tr>
      <w:tr>
        <w:trPr>
          <w:cantSplit/>
        </w:trPr>
        <w:tc>
          <w:tcPr>
            <w:tcW w:type="dxa" w:w="453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INFORM / DECIDE / ACT</w:t>
            </w:r>
          </w:p>
        </w:tc>
        <w:tc>
          <w:tcPr>
            <w:tcW w:type="dxa" w:w="453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Implemented</w:t>
            </w:r>
          </w:p>
        </w:tc>
      </w:tr>
      <w:tr>
        <w:trPr>
          <w:cantSplit/>
        </w:trPr>
        <w:tc>
          <w:tcPr>
            <w:tcW w:type="dxa" w:w="453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Human decision ownership / DECIDE -&gt; ACT</w:t>
            </w:r>
          </w:p>
        </w:tc>
        <w:tc>
          <w:tcPr>
            <w:tcW w:type="dxa" w:w="453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Implemented reference representation and transition</w:t>
            </w:r>
          </w:p>
        </w:tc>
      </w:tr>
      <w:tr>
        <w:trPr>
          <w:cantSplit/>
        </w:trPr>
        <w:tc>
          <w:tcPr>
            <w:tcW w:type="dxa" w:w="453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Mandatory approval-required gate</w:t>
            </w:r>
          </w:p>
        </w:tc>
        <w:tc>
          <w:tcPr>
            <w:tcW w:type="dxa" w:w="453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Implemented as candidate integrity behavior</w:t>
            </w:r>
          </w:p>
        </w:tc>
      </w:tr>
      <w:tr>
        <w:trPr>
          <w:cantSplit/>
        </w:trPr>
        <w:tc>
          <w:tcPr>
            <w:tcW w:type="dxa" w:w="453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Capability-grant action authorization</w:t>
            </w:r>
          </w:p>
        </w:tc>
        <w:tc>
          <w:tcPr>
            <w:tcW w:type="dxa" w:w="453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Implemented reference type/case/value/expiry/quota checks</w:t>
            </w:r>
          </w:p>
        </w:tc>
      </w:tr>
      <w:tr>
        <w:trPr>
          <w:cantSplit/>
        </w:trPr>
        <w:tc>
          <w:tcPr>
            <w:tcW w:type="dxa" w:w="453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Live API/tool enforcement</w:t>
            </w:r>
          </w:p>
        </w:tc>
        <w:tc>
          <w:tcPr>
            <w:tcW w:type="dxa" w:w="453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Not implemented; external integration boundary</w:t>
            </w:r>
          </w:p>
        </w:tc>
      </w:tr>
      <w:tr>
        <w:trPr>
          <w:cantSplit/>
        </w:trPr>
        <w:tc>
          <w:tcPr>
            <w:tcW w:type="dxa" w:w="453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Production IAM/workflow/sandbox</w:t>
            </w:r>
          </w:p>
        </w:tc>
        <w:tc>
          <w:tcPr>
            <w:tcW w:type="dxa" w:w="453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Not implemented; external enforcement boundary</w:t>
            </w:r>
          </w:p>
        </w:tc>
      </w:tr>
      <w:tr>
        <w:trPr>
          <w:cantSplit/>
        </w:trPr>
        <w:tc>
          <w:tcPr>
            <w:tcW w:type="dxa" w:w="453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Independent third-party portability</w:t>
            </w:r>
          </w:p>
        </w:tc>
        <w:tc>
          <w:tcPr>
            <w:tcW w:type="dxa" w:w="453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Not established; portable-subset equivalence only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40" w:after="80"/>
      </w:pPr>
      <w:r>
        <w:t>D.4 Conformance Results</w:t>
      </w:r>
    </w:p>
    <w:p>
      <w:pPr>
        <w:spacing w:after="100" w:line="269" w:lineRule="auto"/>
        <w:ind w:firstLine="312"/>
      </w:pPr>
      <w:r>
        <w:t>The paper-evaluated 0.5.0 baseline passed 10/10 software tests and 25/25 published normative conformance checks. The current 0.5.3 public distribution passes 20/20 software regression tests, preserves 25/25 normative checks, and passes 11/11 candidate execution-integrity checks, for 36/36 current checks in total. This is internal conformance evidence against the published fixtures, not independent certification.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56"/>
        <w:gridCol w:w="3156"/>
        <w:gridCol w:w="3156"/>
      </w:tblGrid>
      <w:tr>
        <w:trPr>
          <w:tblHeader w:val="true"/>
          <w:tblHeader w:val="true"/>
        </w:trPr>
        <w:tc>
          <w:tcPr>
            <w:tcW w:type="dxa" w:w="1134"/>
            <w:shd w:fill="E7E6E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5"/>
              </w:rPr>
              <w:t>Check</w:t>
            </w:r>
          </w:p>
        </w:tc>
        <w:tc>
          <w:tcPr>
            <w:tcW w:type="dxa" w:w="6520"/>
            <w:shd w:fill="E7E6E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5"/>
              </w:rPr>
              <w:t>Published normative behavior</w:t>
            </w:r>
          </w:p>
        </w:tc>
        <w:tc>
          <w:tcPr>
            <w:tcW w:type="dxa" w:w="1417"/>
            <w:shd w:fill="E7E6E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5"/>
              </w:rPr>
              <w:t>Result</w:t>
            </w:r>
          </w:p>
        </w:tc>
      </w:tr>
      <w:tr>
        <w:trPr>
          <w:cantSplit/>
        </w:trPr>
        <w:tc>
          <w:tcPr>
            <w:tcW w:type="dxa" w:w="113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C01</w:t>
            </w:r>
          </w:p>
        </w:tc>
        <w:tc>
          <w:tcPr>
            <w:tcW w:type="dxa" w:w="65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Exclusion safety</w:t>
            </w:r>
          </w:p>
        </w:tc>
        <w:tc>
          <w:tcPr>
            <w:tcW w:type="dxa" w:w="141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PASS</w:t>
            </w:r>
          </w:p>
        </w:tc>
      </w:tr>
      <w:tr>
        <w:trPr>
          <w:cantSplit/>
        </w:trPr>
        <w:tc>
          <w:tcPr>
            <w:tcW w:type="dxa" w:w="113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C02</w:t>
            </w:r>
          </w:p>
        </w:tc>
        <w:tc>
          <w:tcPr>
            <w:tcW w:type="dxa" w:w="65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Quarantine isolation</w:t>
            </w:r>
          </w:p>
        </w:tc>
        <w:tc>
          <w:tcPr>
            <w:tcW w:type="dxa" w:w="141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PASS</w:t>
            </w:r>
          </w:p>
        </w:tc>
      </w:tr>
      <w:tr>
        <w:trPr>
          <w:cantSplit/>
        </w:trPr>
        <w:tc>
          <w:tcPr>
            <w:tcW w:type="dxa" w:w="113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C03</w:t>
            </w:r>
          </w:p>
        </w:tc>
        <w:tc>
          <w:tcPr>
            <w:tcW w:type="dxa" w:w="65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Embargo enforcement</w:t>
            </w:r>
          </w:p>
        </w:tc>
        <w:tc>
          <w:tcPr>
            <w:tcW w:type="dxa" w:w="141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PASS</w:t>
            </w:r>
          </w:p>
        </w:tc>
      </w:tr>
      <w:tr>
        <w:trPr>
          <w:cantSplit/>
        </w:trPr>
        <w:tc>
          <w:tcPr>
            <w:tcW w:type="dxa" w:w="113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C04</w:t>
            </w:r>
          </w:p>
        </w:tc>
        <w:tc>
          <w:tcPr>
            <w:tcW w:type="dxa" w:w="65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Supersession</w:t>
            </w:r>
          </w:p>
        </w:tc>
        <w:tc>
          <w:tcPr>
            <w:tcW w:type="dxa" w:w="141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PASS</w:t>
            </w:r>
          </w:p>
        </w:tc>
      </w:tr>
      <w:tr>
        <w:trPr>
          <w:cantSplit/>
        </w:trPr>
        <w:tc>
          <w:tcPr>
            <w:tcW w:type="dxa" w:w="113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C05</w:t>
            </w:r>
          </w:p>
        </w:tc>
        <w:tc>
          <w:tcPr>
            <w:tcW w:type="dxa" w:w="65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Priority/authority separation</w:t>
            </w:r>
          </w:p>
        </w:tc>
        <w:tc>
          <w:tcPr>
            <w:tcW w:type="dxa" w:w="141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PASS</w:t>
            </w:r>
          </w:p>
        </w:tc>
      </w:tr>
      <w:tr>
        <w:trPr>
          <w:cantSplit/>
        </w:trPr>
        <w:tc>
          <w:tcPr>
            <w:tcW w:type="dxa" w:w="113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C06</w:t>
            </w:r>
          </w:p>
        </w:tc>
        <w:tc>
          <w:tcPr>
            <w:tcW w:type="dxa" w:w="65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Applicability gating</w:t>
            </w:r>
          </w:p>
        </w:tc>
        <w:tc>
          <w:tcPr>
            <w:tcW w:type="dxa" w:w="141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PASS</w:t>
            </w:r>
          </w:p>
        </w:tc>
      </w:tr>
      <w:tr>
        <w:trPr>
          <w:cantSplit/>
        </w:trPr>
        <w:tc>
          <w:tcPr>
            <w:tcW w:type="dxa" w:w="113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C07</w:t>
            </w:r>
          </w:p>
        </w:tc>
        <w:tc>
          <w:tcPr>
            <w:tcW w:type="dxa" w:w="65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Model eligibility</w:t>
            </w:r>
          </w:p>
        </w:tc>
        <w:tc>
          <w:tcPr>
            <w:tcW w:type="dxa" w:w="141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PASS</w:t>
            </w:r>
          </w:p>
        </w:tc>
      </w:tr>
      <w:tr>
        <w:trPr>
          <w:cantSplit/>
        </w:trPr>
        <w:tc>
          <w:tcPr>
            <w:tcW w:type="dxa" w:w="113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C08</w:t>
            </w:r>
          </w:p>
        </w:tc>
        <w:tc>
          <w:tcPr>
            <w:tcW w:type="dxa" w:w="65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Region safety</w:t>
            </w:r>
          </w:p>
        </w:tc>
        <w:tc>
          <w:tcPr>
            <w:tcW w:type="dxa" w:w="141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PASS</w:t>
            </w:r>
          </w:p>
        </w:tc>
      </w:tr>
      <w:tr>
        <w:trPr>
          <w:cantSplit/>
        </w:trPr>
        <w:tc>
          <w:tcPr>
            <w:tcW w:type="dxa" w:w="113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C09</w:t>
            </w:r>
          </w:p>
        </w:tc>
        <w:tc>
          <w:tcPr>
            <w:tcW w:type="dxa" w:w="65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Fallback safety</w:t>
            </w:r>
          </w:p>
        </w:tc>
        <w:tc>
          <w:tcPr>
            <w:tcW w:type="dxa" w:w="141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PASS</w:t>
            </w:r>
          </w:p>
        </w:tc>
      </w:tr>
      <w:tr>
        <w:trPr>
          <w:cantSplit/>
        </w:trPr>
        <w:tc>
          <w:tcPr>
            <w:tcW w:type="dxa" w:w="113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C10</w:t>
            </w:r>
          </w:p>
        </w:tc>
        <w:tc>
          <w:tcPr>
            <w:tcW w:type="dxa" w:w="65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Mandatory evidence</w:t>
            </w:r>
          </w:p>
        </w:tc>
        <w:tc>
          <w:tcPr>
            <w:tcW w:type="dxa" w:w="141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PASS</w:t>
            </w:r>
          </w:p>
        </w:tc>
      </w:tr>
      <w:tr>
        <w:trPr>
          <w:cantSplit/>
        </w:trPr>
        <w:tc>
          <w:tcPr>
            <w:tcW w:type="dxa" w:w="113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C11</w:t>
            </w:r>
          </w:p>
        </w:tc>
        <w:tc>
          <w:tcPr>
            <w:tcW w:type="dxa" w:w="65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Conflict preservation</w:t>
            </w:r>
          </w:p>
        </w:tc>
        <w:tc>
          <w:tcPr>
            <w:tcW w:type="dxa" w:w="141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PASS</w:t>
            </w:r>
          </w:p>
        </w:tc>
      </w:tr>
      <w:tr>
        <w:trPr>
          <w:cantSplit/>
        </w:trPr>
        <w:tc>
          <w:tcPr>
            <w:tcW w:type="dxa" w:w="113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C12</w:t>
            </w:r>
          </w:p>
        </w:tc>
        <w:tc>
          <w:tcPr>
            <w:tcW w:type="dxa" w:w="65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Derived restriction propagation</w:t>
            </w:r>
          </w:p>
        </w:tc>
        <w:tc>
          <w:tcPr>
            <w:tcW w:type="dxa" w:w="141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PASS</w:t>
            </w:r>
          </w:p>
        </w:tc>
      </w:tr>
      <w:tr>
        <w:trPr>
          <w:cantSplit/>
        </w:trPr>
        <w:tc>
          <w:tcPr>
            <w:tcW w:type="dxa" w:w="113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C13</w:t>
            </w:r>
          </w:p>
        </w:tc>
        <w:tc>
          <w:tcPr>
            <w:tcW w:type="dxa" w:w="65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Audit completeness</w:t>
            </w:r>
          </w:p>
        </w:tc>
        <w:tc>
          <w:tcPr>
            <w:tcW w:type="dxa" w:w="141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PASS</w:t>
            </w:r>
          </w:p>
        </w:tc>
      </w:tr>
      <w:tr>
        <w:trPr>
          <w:cantSplit/>
        </w:trPr>
        <w:tc>
          <w:tcPr>
            <w:tcW w:type="dxa" w:w="113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C14</w:t>
            </w:r>
          </w:p>
        </w:tc>
        <w:tc>
          <w:tcPr>
            <w:tcW w:type="dxa" w:w="65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Deterministic replay</w:t>
            </w:r>
          </w:p>
        </w:tc>
        <w:tc>
          <w:tcPr>
            <w:tcW w:type="dxa" w:w="141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PASS</w:t>
            </w:r>
          </w:p>
        </w:tc>
      </w:tr>
      <w:tr>
        <w:trPr>
          <w:cantSplit/>
        </w:trPr>
        <w:tc>
          <w:tcPr>
            <w:tcW w:type="dxa" w:w="113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C15</w:t>
            </w:r>
          </w:p>
        </w:tc>
        <w:tc>
          <w:tcPr>
            <w:tcW w:type="dxa" w:w="65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Portable-subset equivalence</w:t>
            </w:r>
          </w:p>
        </w:tc>
        <w:tc>
          <w:tcPr>
            <w:tcW w:type="dxa" w:w="141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PASS</w:t>
            </w:r>
          </w:p>
        </w:tc>
      </w:tr>
      <w:tr>
        <w:trPr>
          <w:cantSplit/>
        </w:trPr>
        <w:tc>
          <w:tcPr>
            <w:tcW w:type="dxa" w:w="113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C16</w:t>
            </w:r>
          </w:p>
        </w:tc>
        <w:tc>
          <w:tcPr>
            <w:tcW w:type="dxa" w:w="65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Deterministic policy composition</w:t>
            </w:r>
          </w:p>
        </w:tc>
        <w:tc>
          <w:tcPr>
            <w:tcW w:type="dxa" w:w="141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PASS</w:t>
            </w:r>
          </w:p>
        </w:tc>
      </w:tr>
      <w:tr>
        <w:trPr>
          <w:cantSplit/>
        </w:trPr>
        <w:tc>
          <w:tcPr>
            <w:tcW w:type="dxa" w:w="113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C17</w:t>
            </w:r>
          </w:p>
        </w:tc>
        <w:tc>
          <w:tcPr>
            <w:tcW w:type="dxa" w:w="65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Analysis method governance</w:t>
            </w:r>
          </w:p>
        </w:tc>
        <w:tc>
          <w:tcPr>
            <w:tcW w:type="dxa" w:w="141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PASS</w:t>
            </w:r>
          </w:p>
        </w:tc>
      </w:tr>
      <w:tr>
        <w:trPr>
          <w:cantSplit/>
        </w:trPr>
        <w:tc>
          <w:tcPr>
            <w:tcW w:type="dxa" w:w="113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C18</w:t>
            </w:r>
          </w:p>
        </w:tc>
        <w:tc>
          <w:tcPr>
            <w:tcW w:type="dxa" w:w="65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No-infer-missing</w:t>
            </w:r>
          </w:p>
        </w:tc>
        <w:tc>
          <w:tcPr>
            <w:tcW w:type="dxa" w:w="141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PASS</w:t>
            </w:r>
          </w:p>
        </w:tc>
      </w:tr>
      <w:tr>
        <w:trPr>
          <w:cantSplit/>
        </w:trPr>
        <w:tc>
          <w:tcPr>
            <w:tcW w:type="dxa" w:w="113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C19</w:t>
            </w:r>
          </w:p>
        </w:tc>
        <w:tc>
          <w:tcPr>
            <w:tcW w:type="dxa" w:w="65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Analysis corroboration gate</w:t>
            </w:r>
          </w:p>
        </w:tc>
        <w:tc>
          <w:tcPr>
            <w:tcW w:type="dxa" w:w="141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PASS</w:t>
            </w:r>
          </w:p>
        </w:tc>
      </w:tr>
      <w:tr>
        <w:trPr>
          <w:cantSplit/>
        </w:trPr>
        <w:tc>
          <w:tcPr>
            <w:tcW w:type="dxa" w:w="113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C20</w:t>
            </w:r>
          </w:p>
        </w:tc>
        <w:tc>
          <w:tcPr>
            <w:tcW w:type="dxa" w:w="65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INFORM disposition</w:t>
            </w:r>
          </w:p>
        </w:tc>
        <w:tc>
          <w:tcPr>
            <w:tcW w:type="dxa" w:w="141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PASS</w:t>
            </w:r>
          </w:p>
        </w:tc>
      </w:tr>
      <w:tr>
        <w:trPr>
          <w:cantSplit/>
        </w:trPr>
        <w:tc>
          <w:tcPr>
            <w:tcW w:type="dxa" w:w="113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C21</w:t>
            </w:r>
          </w:p>
        </w:tc>
        <w:tc>
          <w:tcPr>
            <w:tcW w:type="dxa" w:w="65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DECIDE disposition</w:t>
            </w:r>
          </w:p>
        </w:tc>
        <w:tc>
          <w:tcPr>
            <w:tcW w:type="dxa" w:w="141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PASS</w:t>
            </w:r>
          </w:p>
        </w:tc>
      </w:tr>
      <w:tr>
        <w:trPr>
          <w:cantSplit/>
        </w:trPr>
        <w:tc>
          <w:tcPr>
            <w:tcW w:type="dxa" w:w="113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C22</w:t>
            </w:r>
          </w:p>
        </w:tc>
        <w:tc>
          <w:tcPr>
            <w:tcW w:type="dxa" w:w="65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ACT capability authorization</w:t>
            </w:r>
          </w:p>
        </w:tc>
        <w:tc>
          <w:tcPr>
            <w:tcW w:type="dxa" w:w="141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PASS</w:t>
            </w:r>
          </w:p>
        </w:tc>
      </w:tr>
      <w:tr>
        <w:trPr>
          <w:cantSplit/>
        </w:trPr>
        <w:tc>
          <w:tcPr>
            <w:tcW w:type="dxa" w:w="113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C23</w:t>
            </w:r>
          </w:p>
        </w:tc>
        <w:tc>
          <w:tcPr>
            <w:tcW w:type="dxa" w:w="65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DECIDE-to-ACT transition</w:t>
            </w:r>
          </w:p>
        </w:tc>
        <w:tc>
          <w:tcPr>
            <w:tcW w:type="dxa" w:w="141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PASS</w:t>
            </w:r>
          </w:p>
        </w:tc>
      </w:tr>
      <w:tr>
        <w:trPr>
          <w:cantSplit/>
        </w:trPr>
        <w:tc>
          <w:tcPr>
            <w:tcW w:type="dxa" w:w="113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C24</w:t>
            </w:r>
          </w:p>
        </w:tc>
        <w:tc>
          <w:tcPr>
            <w:tcW w:type="dxa" w:w="65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End-to-end audit stage coverage</w:t>
            </w:r>
          </w:p>
        </w:tc>
        <w:tc>
          <w:tcPr>
            <w:tcW w:type="dxa" w:w="141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PASS</w:t>
            </w:r>
          </w:p>
        </w:tc>
      </w:tr>
      <w:tr>
        <w:trPr>
          <w:cantSplit/>
        </w:trPr>
        <w:tc>
          <w:tcPr>
            <w:tcW w:type="dxa" w:w="113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C25</w:t>
            </w:r>
          </w:p>
        </w:tc>
        <w:tc>
          <w:tcPr>
            <w:tcW w:type="dxa" w:w="65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Task-scoped action grant</w:t>
            </w:r>
          </w:p>
        </w:tc>
        <w:tc>
          <w:tcPr>
            <w:tcW w:type="dxa" w:w="141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PASS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60" w:after="80"/>
      </w:pPr>
      <w:r>
        <w:t>D.4.1 Candidate execution-integrity hardening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56"/>
        <w:gridCol w:w="3156"/>
        <w:gridCol w:w="3156"/>
      </w:tblGrid>
      <w:tr>
        <w:trPr>
          <w:tblHeader w:val="true"/>
          <w:tblHeader w:val="true"/>
        </w:trPr>
        <w:tc>
          <w:tcPr>
            <w:tcW w:type="dxa" w:w="1134"/>
            <w:shd w:fill="E7E6E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5"/>
              </w:rPr>
              <w:t>Check</w:t>
            </w:r>
          </w:p>
        </w:tc>
        <w:tc>
          <w:tcPr>
            <w:tcW w:type="dxa" w:w="6520"/>
            <w:shd w:fill="E7E6E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5"/>
              </w:rPr>
              <w:t>Candidate behavior</w:t>
            </w:r>
          </w:p>
        </w:tc>
        <w:tc>
          <w:tcPr>
            <w:tcW w:type="dxa" w:w="1417"/>
            <w:shd w:fill="E7E6E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5"/>
              </w:rPr>
              <w:t>Result</w:t>
            </w:r>
          </w:p>
        </w:tc>
      </w:tr>
      <w:tr>
        <w:trPr>
          <w:cantSplit/>
        </w:trPr>
        <w:tc>
          <w:tcPr>
            <w:tcW w:type="dxa" w:w="113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C26</w:t>
            </w:r>
          </w:p>
        </w:tc>
        <w:tc>
          <w:tcPr>
            <w:tcW w:type="dxa" w:w="65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Upstream terminal propagation</w:t>
            </w:r>
          </w:p>
        </w:tc>
        <w:tc>
          <w:tcPr>
            <w:tcW w:type="dxa" w:w="141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PASS</w:t>
            </w:r>
          </w:p>
        </w:tc>
      </w:tr>
      <w:tr>
        <w:trPr>
          <w:cantSplit/>
        </w:trPr>
        <w:tc>
          <w:tcPr>
            <w:tcW w:type="dxa" w:w="113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C27</w:t>
            </w:r>
          </w:p>
        </w:tc>
        <w:tc>
          <w:tcPr>
            <w:tcW w:type="dxa" w:w="65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Minimum AnalysisResult contract</w:t>
            </w:r>
          </w:p>
        </w:tc>
        <w:tc>
          <w:tcPr>
            <w:tcW w:type="dxa" w:w="141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PASS</w:t>
            </w:r>
          </w:p>
        </w:tc>
      </w:tr>
      <w:tr>
        <w:trPr>
          <w:cantSplit/>
        </w:trPr>
        <w:tc>
          <w:tcPr>
            <w:tcW w:type="dxa" w:w="113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C28</w:t>
            </w:r>
          </w:p>
        </w:tc>
        <w:tc>
          <w:tcPr>
            <w:tcW w:type="dxa" w:w="65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ACT requires explicit authorization</w:t>
            </w:r>
          </w:p>
        </w:tc>
        <w:tc>
          <w:tcPr>
            <w:tcW w:type="dxa" w:w="141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PASS</w:t>
            </w:r>
          </w:p>
        </w:tc>
      </w:tr>
      <w:tr>
        <w:trPr>
          <w:cantSplit/>
        </w:trPr>
        <w:tc>
          <w:tcPr>
            <w:tcW w:type="dxa" w:w="113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C29</w:t>
            </w:r>
          </w:p>
        </w:tc>
        <w:tc>
          <w:tcPr>
            <w:tcW w:type="dxa" w:w="65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Expired action grant fails closed</w:t>
            </w:r>
          </w:p>
        </w:tc>
        <w:tc>
          <w:tcPr>
            <w:tcW w:type="dxa" w:w="141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PASS</w:t>
            </w:r>
          </w:p>
        </w:tc>
      </w:tr>
      <w:tr>
        <w:trPr>
          <w:cantSplit/>
        </w:trPr>
        <w:tc>
          <w:tcPr>
            <w:tcW w:type="dxa" w:w="113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C30</w:t>
            </w:r>
          </w:p>
        </w:tc>
        <w:tc>
          <w:tcPr>
            <w:tcW w:type="dxa" w:w="65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In-process action quota enforcement</w:t>
            </w:r>
          </w:p>
        </w:tc>
        <w:tc>
          <w:tcPr>
            <w:tcW w:type="dxa" w:w="141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PASS</w:t>
            </w:r>
          </w:p>
        </w:tc>
      </w:tr>
      <w:tr>
        <w:trPr>
          <w:cantSplit/>
        </w:trPr>
        <w:tc>
          <w:tcPr>
            <w:tcW w:type="dxa" w:w="113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C31</w:t>
            </w:r>
          </w:p>
        </w:tc>
        <w:tc>
          <w:tcPr>
            <w:tcW w:type="dxa" w:w="65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Effective Action value authorization</w:t>
            </w:r>
          </w:p>
        </w:tc>
        <w:tc>
          <w:tcPr>
            <w:tcW w:type="dxa" w:w="141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PASS</w:t>
            </w:r>
          </w:p>
        </w:tc>
      </w:tr>
      <w:tr>
        <w:trPr>
          <w:cantSplit/>
        </w:trPr>
        <w:tc>
          <w:tcPr>
            <w:tcW w:type="dxa" w:w="113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C32</w:t>
            </w:r>
          </w:p>
        </w:tc>
        <w:tc>
          <w:tcPr>
            <w:tcW w:type="dxa" w:w="65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Required human approval cannot be bypassed</w:t>
            </w:r>
          </w:p>
        </w:tc>
        <w:tc>
          <w:tcPr>
            <w:tcW w:type="dxa" w:w="141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PASS</w:t>
            </w:r>
          </w:p>
        </w:tc>
      </w:tr>
      <w:tr>
        <w:trPr>
          <w:cantSplit/>
        </w:trPr>
        <w:tc>
          <w:tcPr>
            <w:tcW w:type="dxa" w:w="113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C33</w:t>
            </w:r>
          </w:p>
        </w:tc>
        <w:tc>
          <w:tcPr>
            <w:tcW w:type="dxa" w:w="65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Finite numeric governance</w:t>
            </w:r>
          </w:p>
        </w:tc>
        <w:tc>
          <w:tcPr>
            <w:tcW w:type="dxa" w:w="141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PASS</w:t>
            </w:r>
          </w:p>
        </w:tc>
      </w:tr>
      <w:tr>
        <w:trPr>
          <w:cantSplit/>
        </w:trPr>
        <w:tc>
          <w:tcPr>
            <w:tcW w:type="dxa" w:w="113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C34</w:t>
            </w:r>
          </w:p>
        </w:tc>
        <w:tc>
          <w:tcPr>
            <w:tcW w:type="dxa" w:w="65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CapabilityGrant schema and scope integrity</w:t>
            </w:r>
          </w:p>
        </w:tc>
        <w:tc>
          <w:tcPr>
            <w:tcW w:type="dxa" w:w="141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PASS</w:t>
            </w:r>
          </w:p>
        </w:tc>
      </w:tr>
      <w:tr>
        <w:trPr>
          <w:cantSplit/>
        </w:trPr>
        <w:tc>
          <w:tcPr>
            <w:tcW w:type="dxa" w:w="113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C35</w:t>
            </w:r>
          </w:p>
        </w:tc>
        <w:tc>
          <w:tcPr>
            <w:tcW w:type="dxa" w:w="65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Human DECIDE resolution</w:t>
            </w:r>
          </w:p>
        </w:tc>
        <w:tc>
          <w:tcPr>
            <w:tcW w:type="dxa" w:w="141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PASS</w:t>
            </w:r>
          </w:p>
        </w:tc>
      </w:tr>
      <w:tr>
        <w:trPr>
          <w:cantSplit/>
        </w:trPr>
        <w:tc>
          <w:tcPr>
            <w:tcW w:type="dxa" w:w="113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C36</w:t>
            </w:r>
          </w:p>
        </w:tc>
        <w:tc>
          <w:tcPr>
            <w:tcW w:type="dxa" w:w="65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Action target/template constraint enforcement</w:t>
            </w:r>
          </w:p>
        </w:tc>
        <w:tc>
          <w:tcPr>
            <w:tcW w:type="dxa" w:w="141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PASS</w:t>
            </w:r>
          </w:p>
        </w:tc>
      </w:tr>
    </w:tbl>
    <w:p>
      <w:pPr>
        <w:spacing w:after="20"/>
      </w:pPr>
    </w:p>
    <w:p>
      <w:pPr>
        <w:spacing w:after="100" w:line="269" w:lineRule="auto"/>
        <w:ind w:firstLine="312"/>
      </w:pPr>
      <w:r>
        <w:t>The candidate checks specifically target cross-stage propagation, analytical-output contracts, action-grant lifecycle and scope, human-decision transitions, effective-action authorization, and malformed numeric or policy assertions. They remain intentionally separate from the normative suite until the next specification-hardening cycle.</w:t>
      </w:r>
    </w:p>
    <w:p>
      <w:pPr>
        <w:pStyle w:val="Heading1"/>
        <w:keepNext/>
        <w:spacing w:before="240" w:after="80"/>
      </w:pPr>
      <w:r>
        <w:t>D.5 Deterministic Runtime Benchmark</w:t>
      </w:r>
    </w:p>
    <w:p>
      <w:pPr>
        <w:spacing w:after="100" w:line="269" w:lineRule="auto"/>
        <w:ind w:firstLine="312"/>
      </w:pPr>
      <w:r>
        <w:t>The benchmark measures deterministic governance-engine overhead only. It excludes retrieval, model inference, network latency, connector I/O, token generation, external persistence, human-workflow latency, and execution of real actions. Smaller workloads use 20 measured runs after warmup; the largest 5,000-object and 150-rule workloads use 12 measured runs. Median and interquartile range (IQR) are reported.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94"/>
        <w:gridCol w:w="1894"/>
        <w:gridCol w:w="1894"/>
        <w:gridCol w:w="1894"/>
        <w:gridCol w:w="1894"/>
      </w:tblGrid>
      <w:tr>
        <w:trPr>
          <w:tblHeader w:val="true"/>
          <w:tblHeader w:val="true"/>
        </w:trPr>
        <w:tc>
          <w:tcPr>
            <w:tcW w:type="dxa" w:w="1814"/>
            <w:shd w:fill="E7E6E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6"/>
              </w:rPr>
              <w:t>Objects</w:t>
            </w:r>
          </w:p>
        </w:tc>
        <w:tc>
          <w:tcPr>
            <w:tcW w:type="dxa" w:w="1814"/>
            <w:shd w:fill="E7E6E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6"/>
              </w:rPr>
              <w:t>Rules</w:t>
            </w:r>
          </w:p>
        </w:tc>
        <w:tc>
          <w:tcPr>
            <w:tcW w:type="dxa" w:w="1814"/>
            <w:shd w:fill="E7E6E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6"/>
              </w:rPr>
              <w:t>Runs</w:t>
            </w:r>
          </w:p>
        </w:tc>
        <w:tc>
          <w:tcPr>
            <w:tcW w:type="dxa" w:w="1814"/>
            <w:shd w:fill="E7E6E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6"/>
              </w:rPr>
              <w:t>Median ms</w:t>
            </w:r>
          </w:p>
        </w:tc>
        <w:tc>
          <w:tcPr>
            <w:tcW w:type="dxa" w:w="1814"/>
            <w:shd w:fill="E7E6E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6"/>
              </w:rPr>
              <w:t>IQR ms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10</w:t>
            </w:r>
          </w:p>
        </w:tc>
        <w:tc>
          <w:tcPr>
            <w:tcW w:type="dxa" w:w="181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10</w:t>
            </w:r>
          </w:p>
        </w:tc>
        <w:tc>
          <w:tcPr>
            <w:tcW w:type="dxa" w:w="181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20</w:t>
            </w:r>
          </w:p>
        </w:tc>
        <w:tc>
          <w:tcPr>
            <w:tcW w:type="dxa" w:w="181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0.60</w:t>
            </w:r>
          </w:p>
        </w:tc>
        <w:tc>
          <w:tcPr>
            <w:tcW w:type="dxa" w:w="181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0.02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100</w:t>
            </w:r>
          </w:p>
        </w:tc>
        <w:tc>
          <w:tcPr>
            <w:tcW w:type="dxa" w:w="181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10</w:t>
            </w:r>
          </w:p>
        </w:tc>
        <w:tc>
          <w:tcPr>
            <w:tcW w:type="dxa" w:w="181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20</w:t>
            </w:r>
          </w:p>
        </w:tc>
        <w:tc>
          <w:tcPr>
            <w:tcW w:type="dxa" w:w="181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4.79</w:t>
            </w:r>
          </w:p>
        </w:tc>
        <w:tc>
          <w:tcPr>
            <w:tcW w:type="dxa" w:w="181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0.16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1,000</w:t>
            </w:r>
          </w:p>
        </w:tc>
        <w:tc>
          <w:tcPr>
            <w:tcW w:type="dxa" w:w="181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10</w:t>
            </w:r>
          </w:p>
        </w:tc>
        <w:tc>
          <w:tcPr>
            <w:tcW w:type="dxa" w:w="181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20</w:t>
            </w:r>
          </w:p>
        </w:tc>
        <w:tc>
          <w:tcPr>
            <w:tcW w:type="dxa" w:w="181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48.35</w:t>
            </w:r>
          </w:p>
        </w:tc>
        <w:tc>
          <w:tcPr>
            <w:tcW w:type="dxa" w:w="181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2.31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5,000</w:t>
            </w:r>
          </w:p>
        </w:tc>
        <w:tc>
          <w:tcPr>
            <w:tcW w:type="dxa" w:w="181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10</w:t>
            </w:r>
          </w:p>
        </w:tc>
        <w:tc>
          <w:tcPr>
            <w:tcW w:type="dxa" w:w="181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12</w:t>
            </w:r>
          </w:p>
        </w:tc>
        <w:tc>
          <w:tcPr>
            <w:tcW w:type="dxa" w:w="181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227.29</w:t>
            </w:r>
          </w:p>
        </w:tc>
        <w:tc>
          <w:tcPr>
            <w:tcW w:type="dxa" w:w="181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12.03</w:t>
            </w:r>
          </w:p>
        </w:tc>
      </w:tr>
    </w:tbl>
    <w:p>
      <w:pPr>
        <w:spacing w:after="20"/>
      </w:pPr>
    </w:p>
    <w:p>
      <w:pPr>
        <w:jc w:val="center"/>
      </w:pPr>
      <w:r/>
    </w:p>
    <w:p>
      <w:pPr>
        <w:spacing w:after="160"/>
        <w:jc w:val="center"/>
      </w:pPr>
      <w:r>
        <w:rPr>
          <w:i/>
          <w:sz w:val="18"/>
        </w:rPr>
        <w:t>Fig. D-1. Object-scaling benchmark for the deterministic reference evaluator.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94"/>
        <w:gridCol w:w="1894"/>
        <w:gridCol w:w="1894"/>
        <w:gridCol w:w="1894"/>
        <w:gridCol w:w="1894"/>
      </w:tblGrid>
      <w:tr>
        <w:trPr>
          <w:tblHeader w:val="true"/>
          <w:tblHeader w:val="true"/>
        </w:trPr>
        <w:tc>
          <w:tcPr>
            <w:tcW w:type="dxa" w:w="1814"/>
            <w:shd w:fill="E7E6E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6"/>
              </w:rPr>
              <w:t>Objects</w:t>
            </w:r>
          </w:p>
        </w:tc>
        <w:tc>
          <w:tcPr>
            <w:tcW w:type="dxa" w:w="1814"/>
            <w:shd w:fill="E7E6E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6"/>
              </w:rPr>
              <w:t>Rules</w:t>
            </w:r>
          </w:p>
        </w:tc>
        <w:tc>
          <w:tcPr>
            <w:tcW w:type="dxa" w:w="1814"/>
            <w:shd w:fill="E7E6E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6"/>
              </w:rPr>
              <w:t>Runs</w:t>
            </w:r>
          </w:p>
        </w:tc>
        <w:tc>
          <w:tcPr>
            <w:tcW w:type="dxa" w:w="1814"/>
            <w:shd w:fill="E7E6E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6"/>
              </w:rPr>
              <w:t>Median ms</w:t>
            </w:r>
          </w:p>
        </w:tc>
        <w:tc>
          <w:tcPr>
            <w:tcW w:type="dxa" w:w="1814"/>
            <w:shd w:fill="E7E6E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6"/>
              </w:rPr>
              <w:t>IQR ms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1,000</w:t>
            </w:r>
          </w:p>
        </w:tc>
        <w:tc>
          <w:tcPr>
            <w:tcW w:type="dxa" w:w="181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0</w:t>
            </w:r>
          </w:p>
        </w:tc>
        <w:tc>
          <w:tcPr>
            <w:tcW w:type="dxa" w:w="181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20</w:t>
            </w:r>
          </w:p>
        </w:tc>
        <w:tc>
          <w:tcPr>
            <w:tcW w:type="dxa" w:w="181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36.10</w:t>
            </w:r>
          </w:p>
        </w:tc>
        <w:tc>
          <w:tcPr>
            <w:tcW w:type="dxa" w:w="181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0.85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1,000</w:t>
            </w:r>
          </w:p>
        </w:tc>
        <w:tc>
          <w:tcPr>
            <w:tcW w:type="dxa" w:w="181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181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20</w:t>
            </w:r>
          </w:p>
        </w:tc>
        <w:tc>
          <w:tcPr>
            <w:tcW w:type="dxa" w:w="181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42.46</w:t>
            </w:r>
          </w:p>
        </w:tc>
        <w:tc>
          <w:tcPr>
            <w:tcW w:type="dxa" w:w="181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1.79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1,000</w:t>
            </w:r>
          </w:p>
        </w:tc>
        <w:tc>
          <w:tcPr>
            <w:tcW w:type="dxa" w:w="181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25</w:t>
            </w:r>
          </w:p>
        </w:tc>
        <w:tc>
          <w:tcPr>
            <w:tcW w:type="dxa" w:w="181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20</w:t>
            </w:r>
          </w:p>
        </w:tc>
        <w:tc>
          <w:tcPr>
            <w:tcW w:type="dxa" w:w="181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64.85</w:t>
            </w:r>
          </w:p>
        </w:tc>
        <w:tc>
          <w:tcPr>
            <w:tcW w:type="dxa" w:w="181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2.61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1,000</w:t>
            </w:r>
          </w:p>
        </w:tc>
        <w:tc>
          <w:tcPr>
            <w:tcW w:type="dxa" w:w="181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100</w:t>
            </w:r>
          </w:p>
        </w:tc>
        <w:tc>
          <w:tcPr>
            <w:tcW w:type="dxa" w:w="181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20</w:t>
            </w:r>
          </w:p>
        </w:tc>
        <w:tc>
          <w:tcPr>
            <w:tcW w:type="dxa" w:w="181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155.75</w:t>
            </w:r>
          </w:p>
        </w:tc>
        <w:tc>
          <w:tcPr>
            <w:tcW w:type="dxa" w:w="181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31.22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1,000</w:t>
            </w:r>
          </w:p>
        </w:tc>
        <w:tc>
          <w:tcPr>
            <w:tcW w:type="dxa" w:w="181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150</w:t>
            </w:r>
          </w:p>
        </w:tc>
        <w:tc>
          <w:tcPr>
            <w:tcW w:type="dxa" w:w="181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12</w:t>
            </w:r>
          </w:p>
        </w:tc>
        <w:tc>
          <w:tcPr>
            <w:tcW w:type="dxa" w:w="181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218.54</w:t>
            </w:r>
          </w:p>
        </w:tc>
        <w:tc>
          <w:tcPr>
            <w:tcW w:type="dxa" w:w="181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93.80</w:t>
            </w:r>
          </w:p>
        </w:tc>
      </w:tr>
    </w:tbl>
    <w:p>
      <w:pPr>
        <w:spacing w:after="20"/>
      </w:pPr>
    </w:p>
    <w:p>
      <w:pPr>
        <w:jc w:val="center"/>
      </w:pPr>
      <w:r/>
    </w:p>
    <w:p>
      <w:pPr>
        <w:spacing w:after="160"/>
        <w:jc w:val="center"/>
      </w:pPr>
      <w:r>
        <w:rPr>
          <w:i/>
          <w:sz w:val="18"/>
        </w:rPr>
        <w:t>Fig. D-2. Rule-scaling benchmark for the deterministic reference evaluator.</w:t>
      </w:r>
    </w:p>
    <w:p>
      <w:pPr>
        <w:pStyle w:val="Heading1"/>
        <w:keepNext/>
        <w:spacing w:before="240" w:after="80"/>
      </w:pPr>
      <w:r>
        <w:t>D.6 Three-Stage Pipeline Benchmark</w:t>
      </w:r>
    </w:p>
    <w:p>
      <w:pPr>
        <w:spacing w:after="100" w:line="269" w:lineRule="auto"/>
        <w:ind w:firstLine="312"/>
      </w:pPr>
      <w:r>
        <w:t>A second microbenchmark executes the three-stage reference pipeline over 1,000 objects for INFORM, DECIDE, and ACT routing. The benchmark stops at the governance decision and does not execute a human workflow or external action. The similar medians therefore characterize consequence-routing overhead only, not equivalent end-to-end operational latency.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94"/>
        <w:gridCol w:w="1894"/>
        <w:gridCol w:w="1894"/>
        <w:gridCol w:w="1894"/>
        <w:gridCol w:w="1894"/>
      </w:tblGrid>
      <w:tr>
        <w:trPr>
          <w:tblHeader w:val="true"/>
          <w:tblHeader w:val="true"/>
        </w:trPr>
        <w:tc>
          <w:tcPr>
            <w:tcW w:type="dxa" w:w="1814"/>
            <w:shd w:fill="E7E6E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6"/>
              </w:rPr>
              <w:t>Disposition</w:t>
            </w:r>
          </w:p>
        </w:tc>
        <w:tc>
          <w:tcPr>
            <w:tcW w:type="dxa" w:w="1814"/>
            <w:shd w:fill="E7E6E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6"/>
              </w:rPr>
              <w:t>Objects</w:t>
            </w:r>
          </w:p>
        </w:tc>
        <w:tc>
          <w:tcPr>
            <w:tcW w:type="dxa" w:w="1814"/>
            <w:shd w:fill="E7E6E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6"/>
              </w:rPr>
              <w:t>Runs</w:t>
            </w:r>
          </w:p>
        </w:tc>
        <w:tc>
          <w:tcPr>
            <w:tcW w:type="dxa" w:w="1814"/>
            <w:shd w:fill="E7E6E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6"/>
              </w:rPr>
              <w:t>Median ms</w:t>
            </w:r>
          </w:p>
        </w:tc>
        <w:tc>
          <w:tcPr>
            <w:tcW w:type="dxa" w:w="1814"/>
            <w:shd w:fill="E7E6E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6"/>
              </w:rPr>
              <w:t>IQR ms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INFORM</w:t>
            </w:r>
          </w:p>
        </w:tc>
        <w:tc>
          <w:tcPr>
            <w:tcW w:type="dxa" w:w="181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1,000</w:t>
            </w:r>
          </w:p>
        </w:tc>
        <w:tc>
          <w:tcPr>
            <w:tcW w:type="dxa" w:w="181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20</w:t>
            </w:r>
          </w:p>
        </w:tc>
        <w:tc>
          <w:tcPr>
            <w:tcW w:type="dxa" w:w="181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55.74</w:t>
            </w:r>
          </w:p>
        </w:tc>
        <w:tc>
          <w:tcPr>
            <w:tcW w:type="dxa" w:w="181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3.00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DECIDE</w:t>
            </w:r>
          </w:p>
        </w:tc>
        <w:tc>
          <w:tcPr>
            <w:tcW w:type="dxa" w:w="181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1,000</w:t>
            </w:r>
          </w:p>
        </w:tc>
        <w:tc>
          <w:tcPr>
            <w:tcW w:type="dxa" w:w="181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20</w:t>
            </w:r>
          </w:p>
        </w:tc>
        <w:tc>
          <w:tcPr>
            <w:tcW w:type="dxa" w:w="181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57.59</w:t>
            </w:r>
          </w:p>
        </w:tc>
        <w:tc>
          <w:tcPr>
            <w:tcW w:type="dxa" w:w="181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7.24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ACT</w:t>
            </w:r>
          </w:p>
        </w:tc>
        <w:tc>
          <w:tcPr>
            <w:tcW w:type="dxa" w:w="181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1,000</w:t>
            </w:r>
          </w:p>
        </w:tc>
        <w:tc>
          <w:tcPr>
            <w:tcW w:type="dxa" w:w="181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20</w:t>
            </w:r>
          </w:p>
        </w:tc>
        <w:tc>
          <w:tcPr>
            <w:tcW w:type="dxa" w:w="181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55.07</w:t>
            </w:r>
          </w:p>
        </w:tc>
        <w:tc>
          <w:tcPr>
            <w:tcW w:type="dxa" w:w="181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3.11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40" w:after="80"/>
      </w:pPr>
      <w:r>
        <w:t>D.7 Reproducibility</w:t>
      </w:r>
    </w:p>
    <w:p>
      <w:pPr>
        <w:spacing w:after="100" w:line="269" w:lineRule="auto"/>
      </w:pPr>
      <w:r>
        <w:t>The public repository contains the fixtures and benchmark harness. Representative commands are:</w:t>
      </w:r>
    </w:p>
    <w:p>
      <w:pPr>
        <w:spacing w:after="140" w:line="240" w:lineRule="auto"/>
        <w:ind w:left="283" w:right="283"/>
      </w:pPr>
      <w:r>
        <w:rPr>
          <w:rFonts w:ascii="Liberation Mono" w:hAnsi="Liberation Mono"/>
          <w:sz w:val="17"/>
        </w:rPr>
        <w:t>python -m pip install -e .</w:t>
        <w:br/>
        <w:t>adgl validate examples/regulatory_product_claim_review/policy.yaml</w:t>
        <w:br/>
        <w:t>adgl run examples/regulatory_product_claim_review/policy.yaml --input examples/regulatory_product_claim_review/input.json</w:t>
        <w:br/>
        <w:t>adgl pipeline examples/autonomous_machine_action/policy.yaml --input examples/autonomous_machine_action/input.json</w:t>
        <w:br/>
        <w:t>adgl conformance</w:t>
        <w:br/>
        <w:t>PYTHONPATH=. python benchmarks/benchmark.py --iterations 20</w:t>
        <w:br/>
        <w:t>PYTHONPATH=. python benchmarks/pipeline_benchmark.py</w:t>
      </w:r>
    </w:p>
    <w:p>
      <w:pPr>
        <w:pStyle w:val="Heading1"/>
        <w:keepNext/>
        <w:spacing w:before="240" w:after="80"/>
      </w:pPr>
      <w:r>
        <w:t>D.8 Interpretation and Validity Limits</w:t>
      </w:r>
    </w:p>
    <w:p>
      <w:pPr>
        <w:spacing w:after="100" w:line="269" w:lineRule="auto"/>
        <w:ind w:firstLine="312"/>
      </w:pPr>
      <w:r>
        <w:t>The reference implementation demonstrates executability, regression behavior, and internal conformance against declared fixtures. It does not establish production safety, sectoral completeness, or independent interoperability. C15 uses a mini-interpreter distributed within the same research project and is therefore not third-party validation. The performance numbers are microbenchmarks of policy evaluation, not service-level objectives.</w:t>
      </w:r>
    </w:p>
    <w:p>
      <w:pPr>
        <w:spacing w:after="100" w:line="269" w:lineRule="auto"/>
        <w:ind w:firstLine="312"/>
      </w:pPr>
      <w:r>
        <w:t>Production use would require authenticated identity and governance assertions, trusted policy distribution, durable and atomic quota consumption, secure secret management, persistent/tamper-evident audit, external enforcement of network/sandbox/region controls, robust connector boundaries, and transactional action execution. The reference in-process max_calls accounting is demonstrative rather than a distributed quota service.</w:t>
      </w:r>
    </w:p>
    <w:p>
      <w:pPr>
        <w:spacing w:after="100" w:line="269" w:lineRule="auto"/>
        <w:ind w:firstLine="312"/>
      </w:pPr>
      <w:r>
        <w:t>The strongest next evaluation steps are an independent implementation, cross-implementation test vectors, live provider/tool integrations, adversarial tests for poisoned retrieval and prompt injection, identity and grant spoofing, policy replay/staleness, and action-execution failure, together with domain-specific evaluations of whether Profiles preserve the intended semantics.</w:t>
      </w:r>
    </w:p>
    <w:p>
      <w:pPr>
        <w:pStyle w:val="Heading1"/>
      </w:pPr>
      <w:r>
        <w:t>D.9 REVISED EVALUATION SCOPE</w:t>
      </w:r>
    </w:p>
    <w:p>
      <w:r>
        <w:t>The public Toolkit 0.5.3 reports 20 software tests, 25 published normative checks (C01-C25), and 11 candidate execution-integrity checks (C26-C36). All were reproduced in the reviewed package. The GitHub release materials also report successful execution of all eight cases in the public Hugging Face Space. These results demonstrate executable producer-authored fixtures and reproducible internal consistency, not independent semantic validation or production effectiveness.</w:t>
      </w:r>
    </w:p>
    <w:p>
      <w:r>
        <w:t>The unpublished proprietary KEE 0.4 MVP was reviewed as a second producer-authored artifact environment. Its 28 tests and embedded Toolkit 0.5.0 baseline’s 25 checks were reproduced. KEE’s adversarial development supplied negative cases that motivated C26-C36. KEE is not public reproducibility evidence, an independent implementation, or the normative definition of ADGL.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62" w:right="1219" w:bottom="1049" w:left="1219" w:header="454" w:footer="42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5A5A5A"/>
        <w:sz w:val="16"/>
      </w:rPr>
      <w:t xml:space="preserve">GBSN Research | Research Release 0.4.3 | </w:t>
    </w: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color w:val="5A5A5A"/>
        <w:sz w:val="16"/>
      </w:rPr>
      <w:t>ADGL Appendix D - Academic Preprint v1.1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ADGL Appendix D - Reference Toolkit, Conformance, and Evaluation</dc:title>
  <dc:subject>ADGL academic preprint appendix</dc:subject>
  <dc:creator>GBSN Research</dc:creator>
  <cp:keywords>ADGL, AI governance, conformance, comparative analysis</cp:keywords>
  <dc:description>generated by python-docx</dc:description>
  <cp:lastModifiedBy>GBSN Research</cp:lastModifiedBy>
  <cp:revision>1</cp:revision>
  <dcterms:created xsi:type="dcterms:W3CDTF">2013-12-23T23:15:00Z</dcterms:created>
  <dcterms:modified xsi:type="dcterms:W3CDTF">2013-12-23T23:15:00Z</dcterms:modified>
  <cp:category/>
</cp:coreProperties>
</file>