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Arial" w:hAnsi="Arial"/>
          <w:b/>
          <w:sz w:val="34"/>
        </w:rPr>
        <w:t>ADGL Appendix E - Comparative Analysis of Existing Governance Mechanisms</w:t>
      </w:r>
    </w:p>
    <w:p>
      <w:pPr>
        <w:spacing w:after="40"/>
        <w:jc w:val="center"/>
      </w:pPr>
      <w:r>
        <w:rPr>
          <w:rFonts w:ascii="Times New Roman" w:hAnsi="Times New Roman"/>
          <w:b/>
          <w:sz w:val="23"/>
        </w:rPr>
        <w:t>GBSN Research</w:t>
      </w:r>
    </w:p>
    <w:p>
      <w:pPr>
        <w:spacing w:after="40"/>
        <w:jc w:val="center"/>
      </w:pPr>
      <w:r>
        <w:t>Lisbon, Portugal | Correspondence: publications@gbsnresearch.com</w:t>
      </w:r>
    </w:p>
    <w:p>
      <w:pPr>
        <w:spacing w:after="200"/>
        <w:jc w:val="center"/>
      </w:pPr>
      <w:r>
        <w:rPr>
          <w:i/>
          <w:color w:val="505050"/>
          <w:sz w:val="18"/>
        </w:rPr>
        <w:t>Academic preprint edition | Public Research Release 0.4.3</w:t>
      </w:r>
    </w:p>
    <w:p>
      <w:pPr>
        <w:spacing w:after="100" w:line="269" w:lineRule="auto"/>
      </w:pPr>
      <w:r>
        <w:t>Positioning ADGL as a complementary execution-semantic layer</w:t>
      </w:r>
    </w:p>
    <w:p>
      <w:pPr>
        <w:pStyle w:val="Heading1"/>
        <w:keepNext/>
        <w:spacing w:before="240" w:after="80"/>
      </w:pPr>
      <w:r>
        <w:t>E.1 Comparison Principle</w:t>
      </w:r>
    </w:p>
    <w:p>
      <w:pPr>
        <w:spacing w:after="100" w:line="269" w:lineRule="auto"/>
        <w:ind w:firstLine="312"/>
      </w:pPr>
      <w:r>
        <w:t>The comparison asks whether existing mechanisms standardize the same governance object, not whether they are technically capable of expressing overlapping rules. General-purpose policy systems can encode many ADGL constraints, provenance systems can represent lineage, AI-management standards can define organizational controls, and emerging agent-governance systems can mediate actions. ADGL's narrower hypothesis is that a shared semantic chain spanning knowledge influence, analytical computation, consequence disposition, and end-to-end audit is useful across those mechanisms.</w:t>
      </w:r>
    </w:p>
    <w:p>
      <w:pPr>
        <w:pStyle w:val="Heading1"/>
        <w:keepNext/>
        <w:spacing w:before="240" w:after="80"/>
      </w:pPr>
      <w:r>
        <w:t>E.2 Traditional Data Governance and Documentation</w:t>
      </w:r>
    </w:p>
    <w:p>
      <w:pPr>
        <w:spacing w:after="100" w:line="269" w:lineRule="auto"/>
        <w:ind w:firstLine="312"/>
      </w:pPr>
      <w:r>
        <w:t>Traditional data governance addresses ownership, stewardship, classification, quality, lineage, retention, access, and lifecycle. Data Statements, Datasheets for Datasets, and Model Cards add structured documentation of origin, composition, intended use, evaluation, and limitations [11]-[13]. ADGL consumes such information as policy context but adds a runtime question: given this Case, may this object influence this computation, under what evidentiary role, and with what downstream restrictions? Documentation therefore supplies facts; ADGL proposes decision semantics over those facts.</w:t>
      </w:r>
    </w:p>
    <w:p>
      <w:pPr>
        <w:pStyle w:val="Heading1"/>
        <w:keepNext/>
        <w:spacing w:before="240" w:after="80"/>
      </w:pPr>
      <w:r>
        <w:t>E.3 IAM, RBAC, ABAC, XACML, OPA, and Cedar</w:t>
      </w:r>
    </w:p>
    <w:p>
      <w:pPr>
        <w:spacing w:after="100" w:line="269" w:lineRule="auto"/>
        <w:ind w:firstLine="312"/>
      </w:pPr>
      <w:r>
        <w:t>IAM and access-control systems establish who or what may access a resource or invoke an action. XACML defines a mature authorization-policy processing model with combining algorithms and obligations/advice [1]. OPA separates policy decision-making from enforcement through declarative Rego [2]. Cedar evaluates principal-action-resource-context authorization requests [3]. These mechanisms are plausible substrates for ADGL decisions. The additional ADGL vocabulary concerns evidentiary role, applicability, analytical method, validation, consequence disposition, decision ownership, and action capability; ADGL does not claim that general policy engines are incapable of encoding such conditions.</w:t>
      </w:r>
    </w:p>
    <w:p>
      <w:pPr>
        <w:pStyle w:val="Heading1"/>
        <w:keepNext/>
        <w:spacing w:before="240" w:after="80"/>
      </w:pPr>
      <w:r>
        <w:t>E.4 Usage Control and Information-Flow Control</w:t>
      </w:r>
    </w:p>
    <w:p>
      <w:pPr>
        <w:spacing w:after="100" w:line="269" w:lineRule="auto"/>
        <w:ind w:firstLine="312"/>
      </w:pPr>
      <w:r>
        <w:t>UCON is important prior art because it rejects the assumption that governance ends at initial access, adding ongoing authorizations, obligations, conditions, continuity, and mutable attributes [4]. Information-flow systems such as SIF likewise track confidentiality and integrity as information propagates through applications rather than treating access as the only control boundary [5]. ADGL should therefore not claim novelty from persistent or post-access control. Its specialization is the decomposition of AI/analytical execution into Knowledge, Analysis, and Consequence stages with explicit decision rights and stage-qualified audit.</w:t>
      </w:r>
    </w:p>
    <w:p>
      <w:pPr>
        <w:pStyle w:val="Heading1"/>
        <w:keepNext/>
        <w:spacing w:before="240" w:after="80"/>
      </w:pPr>
      <w:r>
        <w:t>E.5 W3C ODRL and Rights Expression</w:t>
      </w:r>
    </w:p>
    <w:p>
      <w:pPr>
        <w:spacing w:after="100" w:line="269" w:lineRule="auto"/>
        <w:ind w:firstLine="312"/>
      </w:pPr>
      <w:r>
        <w:t>ODRL defines permissions, prohibitions, duties, constraints, conflict strategies, inheritance, and extensible Profiles [6]. It is a close standards precedent for expressing usage policy over assets. ADGL should investigate an ODRL Profile or mapping rather than create unnecessary incompatibility. Candidate ADGL-specific terms include evidence role, governing authority, Case applicability, analytical method and validation state, result disposition, human decision right, action capability, and audit-stage semantics.</w:t>
      </w:r>
    </w:p>
    <w:p>
      <w:pPr>
        <w:pStyle w:val="Heading1"/>
        <w:keepNext/>
        <w:spacing w:before="240" w:after="80"/>
      </w:pPr>
      <w:r>
        <w:t>E.6 W3C PROV and Provenance Infrastructure</w:t>
      </w:r>
    </w:p>
    <w:p>
      <w:pPr>
        <w:spacing w:after="100" w:line="269" w:lineRule="auto"/>
        <w:ind w:firstLine="312"/>
      </w:pPr>
      <w:r>
        <w:t>PROV-O represents entities, activities, agents, generation, use, derivation, and attribution [7]. ADGL can map KnowledgeObjects, Analysis activities, AnalysisResults, HumanDecisions, and Action outcomes into PROV structures while attaching policy meaning such as admissibility or restriction propagation. Provenance answers where an object came from and how it was produced; ADGL asks what that provenance permits in a current Case. The two are complementary.</w:t>
      </w:r>
    </w:p>
    <w:p>
      <w:pPr>
        <w:pStyle w:val="Heading1"/>
        <w:keepNext/>
        <w:spacing w:before="240" w:after="80"/>
      </w:pPr>
      <w:r>
        <w:t>E.7 Retrieval-Augmented Systems and Knowledge Infrastructure</w:t>
      </w:r>
    </w:p>
    <w:p>
      <w:pPr>
        <w:spacing w:after="100" w:line="269" w:lineRule="auto"/>
        <w:ind w:firstLine="312"/>
      </w:pPr>
      <w:r>
        <w:t>REALM and RAG demonstrate how external, non-parametric knowledge can become operational inside model inference [8], [9]. Search ranking, vector similarity, and knowledge-graph relationships can supply candidate objects and relevance signals. ADGL remains retrieval-neutral because retrieval is not treated as admission: a correctly retrieved object may still be superseded, inapplicable, quarantined, restricted, or permitted only in a limited evidentiary role.</w:t>
      </w:r>
    </w:p>
    <w:p>
      <w:pPr>
        <w:pStyle w:val="Heading1"/>
        <w:keepNext/>
        <w:spacing w:before="240" w:after="80"/>
      </w:pPr>
      <w:r>
        <w:t>E.8 Production ML Engineering and Accountability</w:t>
      </w:r>
    </w:p>
    <w:p>
      <w:pPr>
        <w:spacing w:after="100" w:line="269" w:lineRule="auto"/>
        <w:ind w:firstLine="312"/>
      </w:pPr>
      <w:r>
        <w:t>Production-ML research identifies hidden data dependencies, feedback loops, undeclared consumers, system entanglement, and monitoring gaps that are not visible in model accuracy alone [14]-[16]. Algorithmic-auditing research likewise argues for end-to-end accountability processes and infrastructure rather than isolated model evaluation [17], [18]. ADGL aligns with this system-level perspective but focuses on a narrower unit: the runtime governance trajectory of a policy-bound Case.</w:t>
      </w:r>
    </w:p>
    <w:p>
      <w:pPr>
        <w:pStyle w:val="Heading1"/>
        <w:keepNext/>
        <w:spacing w:before="240" w:after="80"/>
      </w:pPr>
      <w:r>
        <w:t>E.9 Human-Automation Interaction and Decision Authority</w:t>
      </w:r>
    </w:p>
    <w:p>
      <w:pPr>
        <w:spacing w:after="100" w:line="269" w:lineRule="auto"/>
        <w:ind w:firstLine="312"/>
      </w:pPr>
      <w:r>
        <w:t>Parasuraman, Sheridan, and Wickens distinguish automation of information analysis, decision/action selection, and action implementation [19]. Bainbridge and Endsley/Kiris show that nominal human oversight can become fragile when automation leaves operators out of the loop or responsible primarily for abnormal takeover [20], [21]. ADGL's INFORM, DECIDE, and ACT vocabulary is consistent with the need to distinguish informational output, human-owned consequential choice, and machine implementation, while separately allowing human validation inside Analysis Governance.</w:t>
      </w:r>
    </w:p>
    <w:p>
      <w:pPr>
        <w:pStyle w:val="Heading1"/>
        <w:keepNext/>
        <w:spacing w:before="240" w:after="80"/>
      </w:pPr>
      <w:r>
        <w:t>E.10 MCP, Tool Use, and Agent Identity</w:t>
      </w:r>
    </w:p>
    <w:p>
      <w:pPr>
        <w:spacing w:after="100" w:line="269" w:lineRule="auto"/>
        <w:ind w:firstLine="312"/>
      </w:pPr>
      <w:r>
        <w:t>MCP standardizes interfaces and authorization mechanisms for clients accessing resources and tools [22]. NIST's 2026 AI Agent Standards Initiative and NCCoE identity/authorization project emphasize secure interoperability, agent identity, authentication, authorization, and access to diverse datasets, tools, and applications [23], [24]. These mechanisms supply transport and identity prerequisites. ADGL treats agentic behavior as one ACT consequence and asks whether a governed result is permitted to authorize a specific action in the current Case.</w:t>
      </w:r>
    </w:p>
    <w:p>
      <w:pPr>
        <w:pStyle w:val="Heading1"/>
        <w:keepNext/>
        <w:spacing w:before="240" w:after="80"/>
      </w:pPr>
      <w:r>
        <w:t>E.11 Emerging Runtime Governance for Agents</w:t>
      </w:r>
    </w:p>
    <w:p>
      <w:pPr>
        <w:spacing w:after="100" w:line="269" w:lineRule="auto"/>
        <w:ind w:firstLine="312"/>
      </w:pPr>
      <w:r>
        <w:t>Several recent proposals are directly relevant and narrow ADGL's novelty boundary. Policy Cards encode deployment-layer runtime constraints and audit hooks for autonomous agents [25]. AgentSpec supplies a DSL for customizable runtime enforcement [26]. Policies on Paths models compliance over partial agent trajectories and organizational state [27]. Safety Sidecar adds a portable runtime controller with external verification before action release and memory updates [28]. Zwerdling et al. compile company-policy documents into deterministic guards linked to tool use [29]. These works provide stronger agent/action-focused runtime controls than ADGL currently demonstrates. ADGL's proposed distinction is broader scope: upstream Knowledge and Analysis governance plus a consequence model that includes informational and human-decision outcomes, not only autonomous action.</w:t>
      </w:r>
    </w:p>
    <w:p>
      <w:pPr>
        <w:pStyle w:val="Heading1"/>
        <w:keepNext/>
        <w:spacing w:before="240" w:after="80"/>
      </w:pPr>
      <w:r>
        <w:t>E.12 Prompt Injection and Tool-Layer Security</w:t>
      </w:r>
    </w:p>
    <w:p>
      <w:pPr>
        <w:spacing w:after="100" w:line="269" w:lineRule="auto"/>
        <w:ind w:firstLine="312"/>
      </w:pPr>
      <w:r>
        <w:t>Indirect prompt injection demonstrates that retrieved content can influence instructions and downstream API behavior [10]. This problem is not solved by a governance vocabulary alone. ADGL can provide explicit places to attach controls - source integrity and isolation during Knowledge Governance, method/tool and instruction boundaries during Analysis Governance, and bounded action authorization in Consequence Governance - while specialized security systems enforce the technical boundary.</w:t>
      </w:r>
    </w:p>
    <w:p>
      <w:pPr>
        <w:pStyle w:val="Heading1"/>
        <w:keepNext/>
        <w:spacing w:before="240" w:after="80"/>
      </w:pPr>
      <w:r>
        <w:t>E.13 NIST AI RMF, ISO/IEC 42001, and the EU AI Act</w:t>
      </w:r>
    </w:p>
    <w:p>
      <w:pPr>
        <w:spacing w:after="100" w:line="269" w:lineRule="auto"/>
        <w:ind w:firstLine="312"/>
      </w:pPr>
      <w:r>
        <w:t>NIST AI RMF and its Generative AI Profile provide organizational risk-management structures and risk actions [30], [31]. ISO/IEC 42001 specifies requirements for an organizational AI management system [32]. The EU AI Act establishes legal requirements for defined systems and uses, including risk management, data governance, documentation, logging, transparency, and human oversight [33]. ADGL can express and record technical controls that an organization maps to such obligations, but use of ADGL does not establish legal compliance or management-system conformity.</w:t>
      </w:r>
    </w:p>
    <w:p>
      <w:pPr>
        <w:pStyle w:val="Heading1"/>
        <w:keepNext/>
        <w:spacing w:before="240" w:after="80"/>
      </w:pPr>
      <w:r>
        <w:t>E.14 Contemporary Agent-Security Evidence</w:t>
      </w:r>
    </w:p>
    <w:p>
      <w:pPr>
        <w:spacing w:after="100" w:line="269" w:lineRule="auto"/>
        <w:ind w:firstLine="312"/>
      </w:pPr>
      <w:r>
        <w:t>A July 2026 OpenAI/Hugging Face incident during model evaluation illustrates the distinction between semantic requirements and physical enforcement. OpenAI reports that models in a restricted cyber evaluation chained vulnerabilities to obtain Internet access and reach Hugging Face production infrastructure [34]. The public account remains preliminary. The relevant comparison is therefore limited: a governance rule may require a sandbox, region, or no-fallback condition, but containment must be enforced and observed by infrastructure. NIST's 2026 analysis of public comments on agent security similarly reports broad concern that existing cybersecurity practices need adaptation for agent systems [35].</w:t>
      </w:r>
    </w:p>
    <w:p>
      <w:pPr>
        <w:pStyle w:val="Heading1"/>
        <w:keepNext/>
        <w:spacing w:before="240" w:after="80"/>
      </w:pPr>
      <w:r>
        <w:t>E.15 Comparative Capability Matrix</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rPr>
          <w:tblHeader w:val="true"/>
          <w:tblHeader w:val="true"/>
        </w:trPr>
        <w:tc>
          <w:tcPr>
            <w:tcW w:type="dxa" w:w="1984"/>
            <w:shd w:fill="E7E6E6"/>
            <w:tcMar>
              <w:top w:w="70" w:type="dxa"/>
              <w:start w:w="80" w:type="dxa"/>
              <w:bottom w:w="70" w:type="dxa"/>
              <w:end w:w="80" w:type="dxa"/>
            </w:tcMar>
            <w:vAlign w:val="center"/>
          </w:tcPr>
          <w:p>
            <w:pPr>
              <w:spacing w:after="0"/>
            </w:pPr>
            <w:r>
              <w:rPr>
                <w:b/>
                <w:sz w:val="14"/>
              </w:rPr>
              <w:t>Mechanism</w:t>
            </w:r>
          </w:p>
        </w:tc>
        <w:tc>
          <w:tcPr>
            <w:tcW w:type="dxa" w:w="1814"/>
            <w:shd w:fill="E7E6E6"/>
            <w:tcMar>
              <w:top w:w="70" w:type="dxa"/>
              <w:start w:w="80" w:type="dxa"/>
              <w:bottom w:w="70" w:type="dxa"/>
              <w:end w:w="80" w:type="dxa"/>
            </w:tcMar>
            <w:vAlign w:val="center"/>
          </w:tcPr>
          <w:p>
            <w:pPr>
              <w:spacing w:after="0"/>
            </w:pPr>
            <w:r>
              <w:rPr>
                <w:b/>
                <w:sz w:val="14"/>
              </w:rPr>
              <w:t>Primary scope</w:t>
            </w:r>
          </w:p>
        </w:tc>
        <w:tc>
          <w:tcPr>
            <w:tcW w:type="dxa" w:w="1474"/>
            <w:shd w:fill="E7E6E6"/>
            <w:tcMar>
              <w:top w:w="70" w:type="dxa"/>
              <w:start w:w="80" w:type="dxa"/>
              <w:bottom w:w="70" w:type="dxa"/>
              <w:end w:w="80" w:type="dxa"/>
            </w:tcMar>
            <w:vAlign w:val="center"/>
          </w:tcPr>
          <w:p>
            <w:pPr>
              <w:spacing w:after="0"/>
            </w:pPr>
            <w:r>
              <w:rPr>
                <w:b/>
                <w:sz w:val="14"/>
              </w:rPr>
              <w:t>Knowledge</w:t>
            </w:r>
          </w:p>
        </w:tc>
        <w:tc>
          <w:tcPr>
            <w:tcW w:type="dxa" w:w="1474"/>
            <w:shd w:fill="E7E6E6"/>
            <w:tcMar>
              <w:top w:w="70" w:type="dxa"/>
              <w:start w:w="80" w:type="dxa"/>
              <w:bottom w:w="70" w:type="dxa"/>
              <w:end w:w="80" w:type="dxa"/>
            </w:tcMar>
            <w:vAlign w:val="center"/>
          </w:tcPr>
          <w:p>
            <w:pPr>
              <w:spacing w:after="0"/>
            </w:pPr>
            <w:r>
              <w:rPr>
                <w:b/>
                <w:sz w:val="14"/>
              </w:rPr>
              <w:t>Analysis</w:t>
            </w:r>
          </w:p>
        </w:tc>
        <w:tc>
          <w:tcPr>
            <w:tcW w:type="dxa" w:w="1531"/>
            <w:shd w:fill="E7E6E6"/>
            <w:tcMar>
              <w:top w:w="70" w:type="dxa"/>
              <w:start w:w="80" w:type="dxa"/>
              <w:bottom w:w="70" w:type="dxa"/>
              <w:end w:w="80" w:type="dxa"/>
            </w:tcMar>
            <w:vAlign w:val="center"/>
          </w:tcPr>
          <w:p>
            <w:pPr>
              <w:spacing w:after="0"/>
            </w:pPr>
            <w:r>
              <w:rPr>
                <w:b/>
                <w:sz w:val="14"/>
              </w:rPr>
              <w:t>Consequence</w:t>
            </w:r>
          </w:p>
        </w:tc>
        <w:tc>
          <w:tcPr>
            <w:tcW w:type="dxa" w:w="1417"/>
            <w:shd w:fill="E7E6E6"/>
            <w:tcMar>
              <w:top w:w="70" w:type="dxa"/>
              <w:start w:w="80" w:type="dxa"/>
              <w:bottom w:w="70" w:type="dxa"/>
              <w:end w:w="80" w:type="dxa"/>
            </w:tcMar>
            <w:vAlign w:val="center"/>
          </w:tcPr>
          <w:p>
            <w:pPr>
              <w:spacing w:after="0"/>
            </w:pPr>
            <w:r>
              <w:rPr>
                <w:b/>
                <w:sz w:val="14"/>
              </w:rPr>
              <w:t>Audit / provenance</w:t>
            </w:r>
          </w:p>
        </w:tc>
      </w:tr>
      <w:tr>
        <w:trPr>
          <w:cantSplit/>
        </w:trPr>
        <w:tc>
          <w:tcPr>
            <w:tcW w:type="dxa" w:w="1984"/>
            <w:tcMar>
              <w:top w:w="70" w:type="dxa"/>
              <w:start w:w="80" w:type="dxa"/>
              <w:bottom w:w="70" w:type="dxa"/>
              <w:end w:w="80" w:type="dxa"/>
            </w:tcMar>
            <w:vAlign w:val="top"/>
          </w:tcPr>
          <w:p>
            <w:pPr>
              <w:spacing w:after="0" w:line="240" w:lineRule="auto"/>
            </w:pPr>
            <w:r>
              <w:rPr>
                <w:sz w:val="14"/>
              </w:rPr>
              <w:t>ADGL</w:t>
            </w:r>
          </w:p>
        </w:tc>
        <w:tc>
          <w:tcPr>
            <w:tcW w:type="dxa" w:w="1814"/>
            <w:tcMar>
              <w:top w:w="70" w:type="dxa"/>
              <w:start w:w="80" w:type="dxa"/>
              <w:bottom w:w="70" w:type="dxa"/>
              <w:end w:w="80" w:type="dxa"/>
            </w:tcMar>
            <w:vAlign w:val="top"/>
          </w:tcPr>
          <w:p>
            <w:pPr>
              <w:spacing w:after="0" w:line="240" w:lineRule="auto"/>
            </w:pPr>
            <w:r>
              <w:rPr>
                <w:sz w:val="14"/>
              </w:rPr>
              <w:t>Execution-semantic chain</w:t>
            </w:r>
          </w:p>
        </w:tc>
        <w:tc>
          <w:tcPr>
            <w:tcW w:type="dxa" w:w="1474"/>
            <w:tcMar>
              <w:top w:w="70" w:type="dxa"/>
              <w:start w:w="80" w:type="dxa"/>
              <w:bottom w:w="70" w:type="dxa"/>
              <w:end w:w="80" w:type="dxa"/>
            </w:tcMar>
            <w:vAlign w:val="top"/>
          </w:tcPr>
          <w:p>
            <w:pPr>
              <w:spacing w:after="0" w:line="240" w:lineRule="auto"/>
            </w:pPr>
            <w:r>
              <w:rPr>
                <w:sz w:val="14"/>
              </w:rPr>
              <w:t>Native evidence roles/admission</w:t>
            </w:r>
          </w:p>
        </w:tc>
        <w:tc>
          <w:tcPr>
            <w:tcW w:type="dxa" w:w="1474"/>
            <w:tcMar>
              <w:top w:w="70" w:type="dxa"/>
              <w:start w:w="80" w:type="dxa"/>
              <w:bottom w:w="70" w:type="dxa"/>
              <w:end w:w="80" w:type="dxa"/>
            </w:tcMar>
            <w:vAlign w:val="top"/>
          </w:tcPr>
          <w:p>
            <w:pPr>
              <w:spacing w:after="0" w:line="240" w:lineRule="auto"/>
            </w:pPr>
            <w:r>
              <w:rPr>
                <w:sz w:val="14"/>
              </w:rPr>
              <w:t>Native method/model/validation</w:t>
            </w:r>
          </w:p>
        </w:tc>
        <w:tc>
          <w:tcPr>
            <w:tcW w:type="dxa" w:w="1531"/>
            <w:tcMar>
              <w:top w:w="70" w:type="dxa"/>
              <w:start w:w="80" w:type="dxa"/>
              <w:bottom w:w="70" w:type="dxa"/>
              <w:end w:w="80" w:type="dxa"/>
            </w:tcMar>
            <w:vAlign w:val="top"/>
          </w:tcPr>
          <w:p>
            <w:pPr>
              <w:spacing w:after="0" w:line="240" w:lineRule="auto"/>
            </w:pPr>
            <w:r>
              <w:rPr>
                <w:sz w:val="14"/>
              </w:rPr>
              <w:t>INFORM / DECIDE / ACT</w:t>
            </w:r>
          </w:p>
        </w:tc>
        <w:tc>
          <w:tcPr>
            <w:tcW w:type="dxa" w:w="1417"/>
            <w:tcMar>
              <w:top w:w="70" w:type="dxa"/>
              <w:start w:w="80" w:type="dxa"/>
              <w:bottom w:w="70" w:type="dxa"/>
              <w:end w:w="80" w:type="dxa"/>
            </w:tcMar>
            <w:vAlign w:val="top"/>
          </w:tcPr>
          <w:p>
            <w:pPr>
              <w:spacing w:after="0" w:line="240" w:lineRule="auto"/>
            </w:pPr>
            <w:r>
              <w:rPr>
                <w:sz w:val="14"/>
              </w:rPr>
              <w:t>Cross-stage audit</w:t>
            </w:r>
          </w:p>
        </w:tc>
      </w:tr>
      <w:tr>
        <w:trPr>
          <w:cantSplit/>
        </w:trPr>
        <w:tc>
          <w:tcPr>
            <w:tcW w:type="dxa" w:w="1984"/>
            <w:tcMar>
              <w:top w:w="70" w:type="dxa"/>
              <w:start w:w="80" w:type="dxa"/>
              <w:bottom w:w="70" w:type="dxa"/>
              <w:end w:w="80" w:type="dxa"/>
            </w:tcMar>
            <w:vAlign w:val="top"/>
          </w:tcPr>
          <w:p>
            <w:pPr>
              <w:spacing w:after="0" w:line="240" w:lineRule="auto"/>
            </w:pPr>
            <w:r>
              <w:rPr>
                <w:sz w:val="14"/>
              </w:rPr>
              <w:t>IAM / RBAC / ABAC</w:t>
            </w:r>
          </w:p>
        </w:tc>
        <w:tc>
          <w:tcPr>
            <w:tcW w:type="dxa" w:w="1814"/>
            <w:tcMar>
              <w:top w:w="70" w:type="dxa"/>
              <w:start w:w="80" w:type="dxa"/>
              <w:bottom w:w="70" w:type="dxa"/>
              <w:end w:w="80" w:type="dxa"/>
            </w:tcMar>
            <w:vAlign w:val="top"/>
          </w:tcPr>
          <w:p>
            <w:pPr>
              <w:spacing w:after="0" w:line="240" w:lineRule="auto"/>
            </w:pPr>
            <w:r>
              <w:rPr>
                <w:sz w:val="14"/>
              </w:rPr>
              <w:t>Identity and entitlement</w:t>
            </w:r>
          </w:p>
        </w:tc>
        <w:tc>
          <w:tcPr>
            <w:tcW w:type="dxa" w:w="1474"/>
            <w:tcMar>
              <w:top w:w="70" w:type="dxa"/>
              <w:start w:w="80" w:type="dxa"/>
              <w:bottom w:w="70" w:type="dxa"/>
              <w:end w:w="80" w:type="dxa"/>
            </w:tcMar>
            <w:vAlign w:val="top"/>
          </w:tcPr>
          <w:p>
            <w:pPr>
              <w:spacing w:after="0" w:line="240" w:lineRule="auto"/>
            </w:pPr>
            <w:r>
              <w:rPr>
                <w:sz w:val="14"/>
              </w:rPr>
              <w:t>Indirect</w:t>
            </w:r>
          </w:p>
        </w:tc>
        <w:tc>
          <w:tcPr>
            <w:tcW w:type="dxa" w:w="1474"/>
            <w:tcMar>
              <w:top w:w="70" w:type="dxa"/>
              <w:start w:w="80" w:type="dxa"/>
              <w:bottom w:w="70" w:type="dxa"/>
              <w:end w:w="80" w:type="dxa"/>
            </w:tcMar>
            <w:vAlign w:val="top"/>
          </w:tcPr>
          <w:p>
            <w:pPr>
              <w:spacing w:after="0" w:line="240" w:lineRule="auto"/>
            </w:pPr>
            <w:r>
              <w:rPr>
                <w:sz w:val="14"/>
              </w:rPr>
              <w:t>No common analytical semantics</w:t>
            </w:r>
          </w:p>
        </w:tc>
        <w:tc>
          <w:tcPr>
            <w:tcW w:type="dxa" w:w="1531"/>
            <w:tcMar>
              <w:top w:w="70" w:type="dxa"/>
              <w:start w:w="80" w:type="dxa"/>
              <w:bottom w:w="70" w:type="dxa"/>
              <w:end w:w="80" w:type="dxa"/>
            </w:tcMar>
            <w:vAlign w:val="top"/>
          </w:tcPr>
          <w:p>
            <w:pPr>
              <w:spacing w:after="0" w:line="240" w:lineRule="auto"/>
            </w:pPr>
            <w:r>
              <w:rPr>
                <w:sz w:val="14"/>
              </w:rPr>
              <w:t>Action entitlement</w:t>
            </w:r>
          </w:p>
        </w:tc>
        <w:tc>
          <w:tcPr>
            <w:tcW w:type="dxa" w:w="1417"/>
            <w:tcMar>
              <w:top w:w="70" w:type="dxa"/>
              <w:start w:w="80" w:type="dxa"/>
              <w:bottom w:w="70" w:type="dxa"/>
              <w:end w:w="80" w:type="dxa"/>
            </w:tcMar>
            <w:vAlign w:val="top"/>
          </w:tcPr>
          <w:p>
            <w:pPr>
              <w:spacing w:after="0" w:line="240" w:lineRule="auto"/>
            </w:pPr>
            <w:r>
              <w:rPr>
                <w:sz w:val="14"/>
              </w:rPr>
              <w:t>Access/audit logs</w:t>
            </w:r>
          </w:p>
        </w:tc>
      </w:tr>
      <w:tr>
        <w:trPr>
          <w:cantSplit/>
        </w:trPr>
        <w:tc>
          <w:tcPr>
            <w:tcW w:type="dxa" w:w="1984"/>
            <w:tcMar>
              <w:top w:w="70" w:type="dxa"/>
              <w:start w:w="80" w:type="dxa"/>
              <w:bottom w:w="70" w:type="dxa"/>
              <w:end w:w="80" w:type="dxa"/>
            </w:tcMar>
            <w:vAlign w:val="top"/>
          </w:tcPr>
          <w:p>
            <w:pPr>
              <w:spacing w:after="0" w:line="240" w:lineRule="auto"/>
            </w:pPr>
            <w:r>
              <w:rPr>
                <w:sz w:val="14"/>
              </w:rPr>
              <w:t>XACML / OPA / Cedar</w:t>
            </w:r>
          </w:p>
        </w:tc>
        <w:tc>
          <w:tcPr>
            <w:tcW w:type="dxa" w:w="1814"/>
            <w:tcMar>
              <w:top w:w="70" w:type="dxa"/>
              <w:start w:w="80" w:type="dxa"/>
              <w:bottom w:w="70" w:type="dxa"/>
              <w:end w:w="80" w:type="dxa"/>
            </w:tcMar>
            <w:vAlign w:val="top"/>
          </w:tcPr>
          <w:p>
            <w:pPr>
              <w:spacing w:after="0" w:line="240" w:lineRule="auto"/>
            </w:pPr>
            <w:r>
              <w:rPr>
                <w:sz w:val="14"/>
              </w:rPr>
              <w:t>General authorization/policy evaluation</w:t>
            </w:r>
          </w:p>
        </w:tc>
        <w:tc>
          <w:tcPr>
            <w:tcW w:type="dxa" w:w="1474"/>
            <w:tcMar>
              <w:top w:w="70" w:type="dxa"/>
              <w:start w:w="80" w:type="dxa"/>
              <w:bottom w:w="70" w:type="dxa"/>
              <w:end w:w="80" w:type="dxa"/>
            </w:tcMar>
            <w:vAlign w:val="top"/>
          </w:tcPr>
          <w:p>
            <w:pPr>
              <w:spacing w:after="0" w:line="240" w:lineRule="auto"/>
            </w:pPr>
            <w:r>
              <w:rPr>
                <w:sz w:val="14"/>
              </w:rPr>
              <w:t>Custom</w:t>
            </w:r>
          </w:p>
        </w:tc>
        <w:tc>
          <w:tcPr>
            <w:tcW w:type="dxa" w:w="1474"/>
            <w:tcMar>
              <w:top w:w="70" w:type="dxa"/>
              <w:start w:w="80" w:type="dxa"/>
              <w:bottom w:w="70" w:type="dxa"/>
              <w:end w:w="80" w:type="dxa"/>
            </w:tcMar>
            <w:vAlign w:val="top"/>
          </w:tcPr>
          <w:p>
            <w:pPr>
              <w:spacing w:after="0" w:line="240" w:lineRule="auto"/>
            </w:pPr>
            <w:r>
              <w:rPr>
                <w:sz w:val="14"/>
              </w:rPr>
              <w:t>Custom</w:t>
            </w:r>
          </w:p>
        </w:tc>
        <w:tc>
          <w:tcPr>
            <w:tcW w:type="dxa" w:w="1531"/>
            <w:tcMar>
              <w:top w:w="70" w:type="dxa"/>
              <w:start w:w="80" w:type="dxa"/>
              <w:bottom w:w="70" w:type="dxa"/>
              <w:end w:w="80" w:type="dxa"/>
            </w:tcMar>
            <w:vAlign w:val="top"/>
          </w:tcPr>
          <w:p>
            <w:pPr>
              <w:spacing w:after="0" w:line="240" w:lineRule="auto"/>
            </w:pPr>
            <w:r>
              <w:rPr>
                <w:sz w:val="14"/>
              </w:rPr>
              <w:t>Custom / action authorization</w:t>
            </w:r>
          </w:p>
        </w:tc>
        <w:tc>
          <w:tcPr>
            <w:tcW w:type="dxa" w:w="1417"/>
            <w:tcMar>
              <w:top w:w="70" w:type="dxa"/>
              <w:start w:w="80" w:type="dxa"/>
              <w:bottom w:w="70" w:type="dxa"/>
              <w:end w:w="80" w:type="dxa"/>
            </w:tcMar>
            <w:vAlign w:val="top"/>
          </w:tcPr>
          <w:p>
            <w:pPr>
              <w:spacing w:after="0" w:line="240" w:lineRule="auto"/>
            </w:pPr>
            <w:r>
              <w:rPr>
                <w:sz w:val="14"/>
              </w:rPr>
              <w:t>Decision telemetry</w:t>
            </w:r>
          </w:p>
        </w:tc>
      </w:tr>
      <w:tr>
        <w:trPr>
          <w:cantSplit/>
        </w:trPr>
        <w:tc>
          <w:tcPr>
            <w:tcW w:type="dxa" w:w="1984"/>
            <w:tcMar>
              <w:top w:w="70" w:type="dxa"/>
              <w:start w:w="80" w:type="dxa"/>
              <w:bottom w:w="70" w:type="dxa"/>
              <w:end w:w="80" w:type="dxa"/>
            </w:tcMar>
            <w:vAlign w:val="top"/>
          </w:tcPr>
          <w:p>
            <w:pPr>
              <w:spacing w:after="0" w:line="240" w:lineRule="auto"/>
            </w:pPr>
            <w:r>
              <w:rPr>
                <w:sz w:val="14"/>
              </w:rPr>
              <w:t>UCON / information-flow control</w:t>
            </w:r>
          </w:p>
        </w:tc>
        <w:tc>
          <w:tcPr>
            <w:tcW w:type="dxa" w:w="1814"/>
            <w:tcMar>
              <w:top w:w="70" w:type="dxa"/>
              <w:start w:w="80" w:type="dxa"/>
              <w:bottom w:w="70" w:type="dxa"/>
              <w:end w:w="80" w:type="dxa"/>
            </w:tcMar>
            <w:vAlign w:val="top"/>
          </w:tcPr>
          <w:p>
            <w:pPr>
              <w:spacing w:after="0" w:line="240" w:lineRule="auto"/>
            </w:pPr>
            <w:r>
              <w:rPr>
                <w:sz w:val="14"/>
              </w:rPr>
              <w:t>Ongoing usage and propagation</w:t>
            </w:r>
          </w:p>
        </w:tc>
        <w:tc>
          <w:tcPr>
            <w:tcW w:type="dxa" w:w="1474"/>
            <w:tcMar>
              <w:top w:w="70" w:type="dxa"/>
              <w:start w:w="80" w:type="dxa"/>
              <w:bottom w:w="70" w:type="dxa"/>
              <w:end w:w="80" w:type="dxa"/>
            </w:tcMar>
            <w:vAlign w:val="top"/>
          </w:tcPr>
          <w:p>
            <w:pPr>
              <w:spacing w:after="0" w:line="240" w:lineRule="auto"/>
            </w:pPr>
            <w:r>
              <w:rPr>
                <w:sz w:val="14"/>
              </w:rPr>
              <w:t>Generic/persistent control</w:t>
            </w:r>
          </w:p>
        </w:tc>
        <w:tc>
          <w:tcPr>
            <w:tcW w:type="dxa" w:w="1474"/>
            <w:tcMar>
              <w:top w:w="70" w:type="dxa"/>
              <w:start w:w="80" w:type="dxa"/>
              <w:bottom w:w="70" w:type="dxa"/>
              <w:end w:w="80" w:type="dxa"/>
            </w:tcMar>
            <w:vAlign w:val="top"/>
          </w:tcPr>
          <w:p>
            <w:pPr>
              <w:spacing w:after="0" w:line="240" w:lineRule="auto"/>
            </w:pPr>
            <w:r>
              <w:rPr>
                <w:sz w:val="14"/>
              </w:rPr>
              <w:t>Generic conditions</w:t>
            </w:r>
          </w:p>
        </w:tc>
        <w:tc>
          <w:tcPr>
            <w:tcW w:type="dxa" w:w="1531"/>
            <w:tcMar>
              <w:top w:w="70" w:type="dxa"/>
              <w:start w:w="80" w:type="dxa"/>
              <w:bottom w:w="70" w:type="dxa"/>
              <w:end w:w="80" w:type="dxa"/>
            </w:tcMar>
            <w:vAlign w:val="top"/>
          </w:tcPr>
          <w:p>
            <w:pPr>
              <w:spacing w:after="0" w:line="240" w:lineRule="auto"/>
            </w:pPr>
            <w:r>
              <w:rPr>
                <w:sz w:val="14"/>
              </w:rPr>
              <w:t>Ongoing usage</w:t>
            </w:r>
          </w:p>
        </w:tc>
        <w:tc>
          <w:tcPr>
            <w:tcW w:type="dxa" w:w="1417"/>
            <w:tcMar>
              <w:top w:w="70" w:type="dxa"/>
              <w:start w:w="80" w:type="dxa"/>
              <w:bottom w:w="70" w:type="dxa"/>
              <w:end w:w="80" w:type="dxa"/>
            </w:tcMar>
            <w:vAlign w:val="top"/>
          </w:tcPr>
          <w:p>
            <w:pPr>
              <w:spacing w:after="0" w:line="240" w:lineRule="auto"/>
            </w:pPr>
            <w:r>
              <w:rPr>
                <w:sz w:val="14"/>
              </w:rPr>
              <w:t>Policy/flow events</w:t>
            </w:r>
          </w:p>
        </w:tc>
      </w:tr>
      <w:tr>
        <w:trPr>
          <w:cantSplit/>
        </w:trPr>
        <w:tc>
          <w:tcPr>
            <w:tcW w:type="dxa" w:w="1984"/>
            <w:tcMar>
              <w:top w:w="70" w:type="dxa"/>
              <w:start w:w="80" w:type="dxa"/>
              <w:bottom w:w="70" w:type="dxa"/>
              <w:end w:w="80" w:type="dxa"/>
            </w:tcMar>
            <w:vAlign w:val="top"/>
          </w:tcPr>
          <w:p>
            <w:pPr>
              <w:spacing w:after="0" w:line="240" w:lineRule="auto"/>
            </w:pPr>
            <w:r>
              <w:rPr>
                <w:sz w:val="14"/>
              </w:rPr>
              <w:t>ODRL</w:t>
            </w:r>
          </w:p>
        </w:tc>
        <w:tc>
          <w:tcPr>
            <w:tcW w:type="dxa" w:w="1814"/>
            <w:tcMar>
              <w:top w:w="70" w:type="dxa"/>
              <w:start w:w="80" w:type="dxa"/>
              <w:bottom w:w="70" w:type="dxa"/>
              <w:end w:w="80" w:type="dxa"/>
            </w:tcMar>
            <w:vAlign w:val="top"/>
          </w:tcPr>
          <w:p>
            <w:pPr>
              <w:spacing w:after="0" w:line="240" w:lineRule="auto"/>
            </w:pPr>
            <w:r>
              <w:rPr>
                <w:sz w:val="14"/>
              </w:rPr>
              <w:t>Rights and usage policy</w:t>
            </w:r>
          </w:p>
        </w:tc>
        <w:tc>
          <w:tcPr>
            <w:tcW w:type="dxa" w:w="1474"/>
            <w:tcMar>
              <w:top w:w="70" w:type="dxa"/>
              <w:start w:w="80" w:type="dxa"/>
              <w:bottom w:w="70" w:type="dxa"/>
              <w:end w:w="80" w:type="dxa"/>
            </w:tcMar>
            <w:vAlign w:val="top"/>
          </w:tcPr>
          <w:p>
            <w:pPr>
              <w:spacing w:after="0" w:line="240" w:lineRule="auto"/>
            </w:pPr>
            <w:r>
              <w:rPr>
                <w:sz w:val="14"/>
              </w:rPr>
              <w:t>Asset use / constraints</w:t>
            </w:r>
          </w:p>
        </w:tc>
        <w:tc>
          <w:tcPr>
            <w:tcW w:type="dxa" w:w="1474"/>
            <w:tcMar>
              <w:top w:w="70" w:type="dxa"/>
              <w:start w:w="80" w:type="dxa"/>
              <w:bottom w:w="70" w:type="dxa"/>
              <w:end w:w="80" w:type="dxa"/>
            </w:tcMar>
            <w:vAlign w:val="top"/>
          </w:tcPr>
          <w:p>
            <w:pPr>
              <w:spacing w:after="0" w:line="240" w:lineRule="auto"/>
            </w:pPr>
            <w:r>
              <w:rPr>
                <w:sz w:val="14"/>
              </w:rPr>
              <w:t>Constraints/duties</w:t>
            </w:r>
          </w:p>
        </w:tc>
        <w:tc>
          <w:tcPr>
            <w:tcW w:type="dxa" w:w="1531"/>
            <w:tcMar>
              <w:top w:w="70" w:type="dxa"/>
              <w:start w:w="80" w:type="dxa"/>
              <w:bottom w:w="70" w:type="dxa"/>
              <w:end w:w="80" w:type="dxa"/>
            </w:tcMar>
            <w:vAlign w:val="top"/>
          </w:tcPr>
          <w:p>
            <w:pPr>
              <w:spacing w:after="0" w:line="240" w:lineRule="auto"/>
            </w:pPr>
            <w:r>
              <w:rPr>
                <w:sz w:val="14"/>
              </w:rPr>
              <w:t>Actions/permissions/duties</w:t>
            </w:r>
          </w:p>
        </w:tc>
        <w:tc>
          <w:tcPr>
            <w:tcW w:type="dxa" w:w="1417"/>
            <w:tcMar>
              <w:top w:w="70" w:type="dxa"/>
              <w:start w:w="80" w:type="dxa"/>
              <w:bottom w:w="70" w:type="dxa"/>
              <w:end w:w="80" w:type="dxa"/>
            </w:tcMar>
            <w:vAlign w:val="top"/>
          </w:tcPr>
          <w:p>
            <w:pPr>
              <w:spacing w:after="0" w:line="240" w:lineRule="auto"/>
            </w:pPr>
            <w:r>
              <w:rPr>
                <w:sz w:val="14"/>
              </w:rPr>
              <w:t>Policy representation</w:t>
            </w:r>
          </w:p>
        </w:tc>
      </w:tr>
      <w:tr>
        <w:trPr>
          <w:cantSplit/>
        </w:trPr>
        <w:tc>
          <w:tcPr>
            <w:tcW w:type="dxa" w:w="1984"/>
            <w:tcMar>
              <w:top w:w="70" w:type="dxa"/>
              <w:start w:w="80" w:type="dxa"/>
              <w:bottom w:w="70" w:type="dxa"/>
              <w:end w:w="80" w:type="dxa"/>
            </w:tcMar>
            <w:vAlign w:val="top"/>
          </w:tcPr>
          <w:p>
            <w:pPr>
              <w:spacing w:after="0" w:line="240" w:lineRule="auto"/>
            </w:pPr>
            <w:r>
              <w:rPr>
                <w:sz w:val="14"/>
              </w:rPr>
              <w:t>W3C PROV</w:t>
            </w:r>
          </w:p>
        </w:tc>
        <w:tc>
          <w:tcPr>
            <w:tcW w:type="dxa" w:w="1814"/>
            <w:tcMar>
              <w:top w:w="70" w:type="dxa"/>
              <w:start w:w="80" w:type="dxa"/>
              <w:bottom w:w="70" w:type="dxa"/>
              <w:end w:w="80" w:type="dxa"/>
            </w:tcMar>
            <w:vAlign w:val="top"/>
          </w:tcPr>
          <w:p>
            <w:pPr>
              <w:spacing w:after="0" w:line="240" w:lineRule="auto"/>
            </w:pPr>
            <w:r>
              <w:rPr>
                <w:sz w:val="14"/>
              </w:rPr>
              <w:t>Provenance and derivation</w:t>
            </w:r>
          </w:p>
        </w:tc>
        <w:tc>
          <w:tcPr>
            <w:tcW w:type="dxa" w:w="1474"/>
            <w:tcMar>
              <w:top w:w="70" w:type="dxa"/>
              <w:start w:w="80" w:type="dxa"/>
              <w:bottom w:w="70" w:type="dxa"/>
              <w:end w:w="80" w:type="dxa"/>
            </w:tcMar>
            <w:vAlign w:val="top"/>
          </w:tcPr>
          <w:p>
            <w:pPr>
              <w:spacing w:after="0" w:line="240" w:lineRule="auto"/>
            </w:pPr>
            <w:r>
              <w:rPr>
                <w:sz w:val="14"/>
              </w:rPr>
              <w:t>Lineage</w:t>
            </w:r>
          </w:p>
        </w:tc>
        <w:tc>
          <w:tcPr>
            <w:tcW w:type="dxa" w:w="1474"/>
            <w:tcMar>
              <w:top w:w="70" w:type="dxa"/>
              <w:start w:w="80" w:type="dxa"/>
              <w:bottom w:w="70" w:type="dxa"/>
              <w:end w:w="80" w:type="dxa"/>
            </w:tcMar>
            <w:vAlign w:val="top"/>
          </w:tcPr>
          <w:p>
            <w:pPr>
              <w:spacing w:after="0" w:line="240" w:lineRule="auto"/>
            </w:pPr>
            <w:r>
              <w:rPr>
                <w:sz w:val="14"/>
              </w:rPr>
              <w:t>Activities</w:t>
            </w:r>
          </w:p>
        </w:tc>
        <w:tc>
          <w:tcPr>
            <w:tcW w:type="dxa" w:w="1531"/>
            <w:tcMar>
              <w:top w:w="70" w:type="dxa"/>
              <w:start w:w="80" w:type="dxa"/>
              <w:bottom w:w="70" w:type="dxa"/>
              <w:end w:w="80" w:type="dxa"/>
            </w:tcMar>
            <w:vAlign w:val="top"/>
          </w:tcPr>
          <w:p>
            <w:pPr>
              <w:spacing w:after="0" w:line="240" w:lineRule="auto"/>
            </w:pPr>
            <w:r>
              <w:rPr>
                <w:sz w:val="14"/>
              </w:rPr>
              <w:t>Action lineage possible</w:t>
            </w:r>
          </w:p>
        </w:tc>
        <w:tc>
          <w:tcPr>
            <w:tcW w:type="dxa" w:w="1417"/>
            <w:tcMar>
              <w:top w:w="70" w:type="dxa"/>
              <w:start w:w="80" w:type="dxa"/>
              <w:bottom w:w="70" w:type="dxa"/>
              <w:end w:w="80" w:type="dxa"/>
            </w:tcMar>
            <w:vAlign w:val="top"/>
          </w:tcPr>
          <w:p>
            <w:pPr>
              <w:spacing w:after="0" w:line="240" w:lineRule="auto"/>
            </w:pPr>
            <w:r>
              <w:rPr>
                <w:sz w:val="14"/>
              </w:rPr>
              <w:t>Native provenance</w:t>
            </w:r>
          </w:p>
        </w:tc>
      </w:tr>
      <w:tr>
        <w:trPr>
          <w:cantSplit/>
        </w:trPr>
        <w:tc>
          <w:tcPr>
            <w:tcW w:type="dxa" w:w="1984"/>
            <w:tcMar>
              <w:top w:w="70" w:type="dxa"/>
              <w:start w:w="80" w:type="dxa"/>
              <w:bottom w:w="70" w:type="dxa"/>
              <w:end w:w="80" w:type="dxa"/>
            </w:tcMar>
            <w:vAlign w:val="top"/>
          </w:tcPr>
          <w:p>
            <w:pPr>
              <w:spacing w:after="0" w:line="240" w:lineRule="auto"/>
            </w:pPr>
            <w:r>
              <w:rPr>
                <w:sz w:val="14"/>
              </w:rPr>
              <w:t>Datasheets / Data Statements / Model Cards</w:t>
            </w:r>
          </w:p>
        </w:tc>
        <w:tc>
          <w:tcPr>
            <w:tcW w:type="dxa" w:w="1814"/>
            <w:tcMar>
              <w:top w:w="70" w:type="dxa"/>
              <w:start w:w="80" w:type="dxa"/>
              <w:bottom w:w="70" w:type="dxa"/>
              <w:end w:w="80" w:type="dxa"/>
            </w:tcMar>
            <w:vAlign w:val="top"/>
          </w:tcPr>
          <w:p>
            <w:pPr>
              <w:spacing w:after="0" w:line="240" w:lineRule="auto"/>
            </w:pPr>
            <w:r>
              <w:rPr>
                <w:sz w:val="14"/>
              </w:rPr>
              <w:t>Documentation/transparency</w:t>
            </w:r>
          </w:p>
        </w:tc>
        <w:tc>
          <w:tcPr>
            <w:tcW w:type="dxa" w:w="1474"/>
            <w:tcMar>
              <w:top w:w="70" w:type="dxa"/>
              <w:start w:w="80" w:type="dxa"/>
              <w:bottom w:w="70" w:type="dxa"/>
              <w:end w:w="80" w:type="dxa"/>
            </w:tcMar>
            <w:vAlign w:val="top"/>
          </w:tcPr>
          <w:p>
            <w:pPr>
              <w:spacing w:after="0" w:line="240" w:lineRule="auto"/>
            </w:pPr>
            <w:r>
              <w:rPr>
                <w:sz w:val="14"/>
              </w:rPr>
              <w:t>Rich metadata</w:t>
            </w:r>
          </w:p>
        </w:tc>
        <w:tc>
          <w:tcPr>
            <w:tcW w:type="dxa" w:w="1474"/>
            <w:tcMar>
              <w:top w:w="70" w:type="dxa"/>
              <w:start w:w="80" w:type="dxa"/>
              <w:bottom w:w="70" w:type="dxa"/>
              <w:end w:w="80" w:type="dxa"/>
            </w:tcMar>
            <w:vAlign w:val="top"/>
          </w:tcPr>
          <w:p>
            <w:pPr>
              <w:spacing w:after="0" w:line="240" w:lineRule="auto"/>
            </w:pPr>
            <w:r>
              <w:rPr>
                <w:sz w:val="14"/>
              </w:rPr>
              <w:t>Evaluation/intended-use metadata</w:t>
            </w:r>
          </w:p>
        </w:tc>
        <w:tc>
          <w:tcPr>
            <w:tcW w:type="dxa" w:w="1531"/>
            <w:tcMar>
              <w:top w:w="70" w:type="dxa"/>
              <w:start w:w="80" w:type="dxa"/>
              <w:bottom w:w="70" w:type="dxa"/>
              <w:end w:w="80" w:type="dxa"/>
            </w:tcMar>
            <w:vAlign w:val="top"/>
          </w:tcPr>
          <w:p>
            <w:pPr>
              <w:spacing w:after="0" w:line="240" w:lineRule="auto"/>
            </w:pPr>
            <w:r>
              <w:rPr>
                <w:sz w:val="14"/>
              </w:rPr>
              <w:t>No runtime consequence model</w:t>
            </w:r>
          </w:p>
        </w:tc>
        <w:tc>
          <w:tcPr>
            <w:tcW w:type="dxa" w:w="1417"/>
            <w:tcMar>
              <w:top w:w="70" w:type="dxa"/>
              <w:start w:w="80" w:type="dxa"/>
              <w:bottom w:w="70" w:type="dxa"/>
              <w:end w:w="80" w:type="dxa"/>
            </w:tcMar>
            <w:vAlign w:val="top"/>
          </w:tcPr>
          <w:p>
            <w:pPr>
              <w:spacing w:after="0" w:line="240" w:lineRule="auto"/>
            </w:pPr>
            <w:r>
              <w:rPr>
                <w:sz w:val="14"/>
              </w:rPr>
              <w:t>Documentation record</w:t>
            </w:r>
          </w:p>
        </w:tc>
      </w:tr>
      <w:tr>
        <w:trPr>
          <w:cantSplit/>
        </w:trPr>
        <w:tc>
          <w:tcPr>
            <w:tcW w:type="dxa" w:w="1984"/>
            <w:tcMar>
              <w:top w:w="70" w:type="dxa"/>
              <w:start w:w="80" w:type="dxa"/>
              <w:bottom w:w="70" w:type="dxa"/>
              <w:end w:w="80" w:type="dxa"/>
            </w:tcMar>
            <w:vAlign w:val="top"/>
          </w:tcPr>
          <w:p>
            <w:pPr>
              <w:spacing w:after="0" w:line="240" w:lineRule="auto"/>
            </w:pPr>
            <w:r>
              <w:rPr>
                <w:sz w:val="14"/>
              </w:rPr>
              <w:t>NIST AI RMF / ISO 42001 / EU AI Act</w:t>
            </w:r>
          </w:p>
        </w:tc>
        <w:tc>
          <w:tcPr>
            <w:tcW w:type="dxa" w:w="1814"/>
            <w:tcMar>
              <w:top w:w="70" w:type="dxa"/>
              <w:start w:w="80" w:type="dxa"/>
              <w:bottom w:w="70" w:type="dxa"/>
              <w:end w:w="80" w:type="dxa"/>
            </w:tcMar>
            <w:vAlign w:val="top"/>
          </w:tcPr>
          <w:p>
            <w:pPr>
              <w:spacing w:after="0" w:line="240" w:lineRule="auto"/>
            </w:pPr>
            <w:r>
              <w:rPr>
                <w:sz w:val="14"/>
              </w:rPr>
              <w:t>Risk, management, legal obligations</w:t>
            </w:r>
          </w:p>
        </w:tc>
        <w:tc>
          <w:tcPr>
            <w:tcW w:type="dxa" w:w="1474"/>
            <w:tcMar>
              <w:top w:w="70" w:type="dxa"/>
              <w:start w:w="80" w:type="dxa"/>
              <w:bottom w:w="70" w:type="dxa"/>
              <w:end w:w="80" w:type="dxa"/>
            </w:tcMar>
            <w:vAlign w:val="top"/>
          </w:tcPr>
          <w:p>
            <w:pPr>
              <w:spacing w:after="0" w:line="240" w:lineRule="auto"/>
            </w:pPr>
            <w:r>
              <w:rPr>
                <w:sz w:val="14"/>
              </w:rPr>
              <w:t>Governance-level</w:t>
            </w:r>
          </w:p>
        </w:tc>
        <w:tc>
          <w:tcPr>
            <w:tcW w:type="dxa" w:w="1474"/>
            <w:tcMar>
              <w:top w:w="70" w:type="dxa"/>
              <w:start w:w="80" w:type="dxa"/>
              <w:bottom w:w="70" w:type="dxa"/>
              <w:end w:w="80" w:type="dxa"/>
            </w:tcMar>
            <w:vAlign w:val="top"/>
          </w:tcPr>
          <w:p>
            <w:pPr>
              <w:spacing w:after="0" w:line="240" w:lineRule="auto"/>
            </w:pPr>
            <w:r>
              <w:rPr>
                <w:sz w:val="14"/>
              </w:rPr>
              <w:t>Governance-level</w:t>
            </w:r>
          </w:p>
        </w:tc>
        <w:tc>
          <w:tcPr>
            <w:tcW w:type="dxa" w:w="1531"/>
            <w:tcMar>
              <w:top w:w="70" w:type="dxa"/>
              <w:start w:w="80" w:type="dxa"/>
              <w:bottom w:w="70" w:type="dxa"/>
              <w:end w:w="80" w:type="dxa"/>
            </w:tcMar>
            <w:vAlign w:val="top"/>
          </w:tcPr>
          <w:p>
            <w:pPr>
              <w:spacing w:after="0" w:line="240" w:lineRule="auto"/>
            </w:pPr>
            <w:r>
              <w:rPr>
                <w:sz w:val="14"/>
              </w:rPr>
              <w:t>Governance/human-oversight obligations</w:t>
            </w:r>
          </w:p>
        </w:tc>
        <w:tc>
          <w:tcPr>
            <w:tcW w:type="dxa" w:w="1417"/>
            <w:tcMar>
              <w:top w:w="70" w:type="dxa"/>
              <w:start w:w="80" w:type="dxa"/>
              <w:bottom w:w="70" w:type="dxa"/>
              <w:end w:w="80" w:type="dxa"/>
            </w:tcMar>
            <w:vAlign w:val="top"/>
          </w:tcPr>
          <w:p>
            <w:pPr>
              <w:spacing w:after="0" w:line="240" w:lineRule="auto"/>
            </w:pPr>
            <w:r>
              <w:rPr>
                <w:sz w:val="14"/>
              </w:rPr>
              <w:t>Governance evidence</w:t>
            </w:r>
          </w:p>
        </w:tc>
      </w:tr>
      <w:tr>
        <w:trPr>
          <w:cantSplit/>
        </w:trPr>
        <w:tc>
          <w:tcPr>
            <w:tcW w:type="dxa" w:w="1984"/>
            <w:tcMar>
              <w:top w:w="70" w:type="dxa"/>
              <w:start w:w="80" w:type="dxa"/>
              <w:bottom w:w="70" w:type="dxa"/>
              <w:end w:w="80" w:type="dxa"/>
            </w:tcMar>
            <w:vAlign w:val="top"/>
          </w:tcPr>
          <w:p>
            <w:pPr>
              <w:spacing w:after="0" w:line="240" w:lineRule="auto"/>
            </w:pPr>
            <w:r>
              <w:rPr>
                <w:sz w:val="14"/>
              </w:rPr>
              <w:t>MCP / agent identity</w:t>
            </w:r>
          </w:p>
        </w:tc>
        <w:tc>
          <w:tcPr>
            <w:tcW w:type="dxa" w:w="1814"/>
            <w:tcMar>
              <w:top w:w="70" w:type="dxa"/>
              <w:start w:w="80" w:type="dxa"/>
              <w:bottom w:w="70" w:type="dxa"/>
              <w:end w:w="80" w:type="dxa"/>
            </w:tcMar>
            <w:vAlign w:val="top"/>
          </w:tcPr>
          <w:p>
            <w:pPr>
              <w:spacing w:after="0" w:line="240" w:lineRule="auto"/>
            </w:pPr>
            <w:r>
              <w:rPr>
                <w:sz w:val="14"/>
              </w:rPr>
              <w:t>Transport/tool/resource authorization</w:t>
            </w:r>
          </w:p>
        </w:tc>
        <w:tc>
          <w:tcPr>
            <w:tcW w:type="dxa" w:w="1474"/>
            <w:tcMar>
              <w:top w:w="70" w:type="dxa"/>
              <w:start w:w="80" w:type="dxa"/>
              <w:bottom w:w="70" w:type="dxa"/>
              <w:end w:w="80" w:type="dxa"/>
            </w:tcMar>
            <w:vAlign w:val="top"/>
          </w:tcPr>
          <w:p>
            <w:pPr>
              <w:spacing w:after="0" w:line="240" w:lineRule="auto"/>
            </w:pPr>
            <w:r>
              <w:rPr>
                <w:sz w:val="14"/>
              </w:rPr>
              <w:t>No evidence semantics</w:t>
            </w:r>
          </w:p>
        </w:tc>
        <w:tc>
          <w:tcPr>
            <w:tcW w:type="dxa" w:w="1474"/>
            <w:tcMar>
              <w:top w:w="70" w:type="dxa"/>
              <w:start w:w="80" w:type="dxa"/>
              <w:bottom w:w="70" w:type="dxa"/>
              <w:end w:w="80" w:type="dxa"/>
            </w:tcMar>
            <w:vAlign w:val="top"/>
          </w:tcPr>
          <w:p>
            <w:pPr>
              <w:spacing w:after="0" w:line="240" w:lineRule="auto"/>
            </w:pPr>
            <w:r>
              <w:rPr>
                <w:sz w:val="14"/>
              </w:rPr>
              <w:t>No common analytical semantics</w:t>
            </w:r>
          </w:p>
        </w:tc>
        <w:tc>
          <w:tcPr>
            <w:tcW w:type="dxa" w:w="1531"/>
            <w:tcMar>
              <w:top w:w="70" w:type="dxa"/>
              <w:start w:w="80" w:type="dxa"/>
              <w:bottom w:w="70" w:type="dxa"/>
              <w:end w:w="80" w:type="dxa"/>
            </w:tcMar>
            <w:vAlign w:val="top"/>
          </w:tcPr>
          <w:p>
            <w:pPr>
              <w:spacing w:after="0" w:line="240" w:lineRule="auto"/>
            </w:pPr>
            <w:r>
              <w:rPr>
                <w:sz w:val="14"/>
              </w:rPr>
              <w:t>Tool/server authorization</w:t>
            </w:r>
          </w:p>
        </w:tc>
        <w:tc>
          <w:tcPr>
            <w:tcW w:type="dxa" w:w="1417"/>
            <w:tcMar>
              <w:top w:w="70" w:type="dxa"/>
              <w:start w:w="80" w:type="dxa"/>
              <w:bottom w:w="70" w:type="dxa"/>
              <w:end w:w="80" w:type="dxa"/>
            </w:tcMar>
            <w:vAlign w:val="top"/>
          </w:tcPr>
          <w:p>
            <w:pPr>
              <w:spacing w:after="0" w:line="240" w:lineRule="auto"/>
            </w:pPr>
            <w:r>
              <w:rPr>
                <w:sz w:val="14"/>
              </w:rPr>
              <w:t>Protocol logs</w:t>
            </w:r>
          </w:p>
        </w:tc>
      </w:tr>
      <w:tr>
        <w:trPr>
          <w:cantSplit/>
        </w:trPr>
        <w:tc>
          <w:tcPr>
            <w:tcW w:type="dxa" w:w="1984"/>
            <w:tcMar>
              <w:top w:w="70" w:type="dxa"/>
              <w:start w:w="80" w:type="dxa"/>
              <w:bottom w:w="70" w:type="dxa"/>
              <w:end w:w="80" w:type="dxa"/>
            </w:tcMar>
            <w:vAlign w:val="top"/>
          </w:tcPr>
          <w:p>
            <w:pPr>
              <w:spacing w:after="0" w:line="240" w:lineRule="auto"/>
            </w:pPr>
            <w:r>
              <w:rPr>
                <w:sz w:val="14"/>
              </w:rPr>
              <w:t>Policy Cards / AgentSpec / path/guard systems</w:t>
            </w:r>
          </w:p>
        </w:tc>
        <w:tc>
          <w:tcPr>
            <w:tcW w:type="dxa" w:w="1814"/>
            <w:tcMar>
              <w:top w:w="70" w:type="dxa"/>
              <w:start w:w="80" w:type="dxa"/>
              <w:bottom w:w="70" w:type="dxa"/>
              <w:end w:w="80" w:type="dxa"/>
            </w:tcMar>
            <w:vAlign w:val="top"/>
          </w:tcPr>
          <w:p>
            <w:pPr>
              <w:spacing w:after="0" w:line="240" w:lineRule="auto"/>
            </w:pPr>
            <w:r>
              <w:rPr>
                <w:sz w:val="14"/>
              </w:rPr>
              <w:t>Runtime autonomous-agent control</w:t>
            </w:r>
          </w:p>
        </w:tc>
        <w:tc>
          <w:tcPr>
            <w:tcW w:type="dxa" w:w="1474"/>
            <w:tcMar>
              <w:top w:w="70" w:type="dxa"/>
              <w:start w:w="80" w:type="dxa"/>
              <w:bottom w:w="70" w:type="dxa"/>
              <w:end w:w="80" w:type="dxa"/>
            </w:tcMar>
            <w:vAlign w:val="top"/>
          </w:tcPr>
          <w:p>
            <w:pPr>
              <w:spacing w:after="0" w:line="240" w:lineRule="auto"/>
            </w:pPr>
            <w:r>
              <w:rPr>
                <w:sz w:val="14"/>
              </w:rPr>
              <w:t>Some evidence/context constraints</w:t>
            </w:r>
          </w:p>
        </w:tc>
        <w:tc>
          <w:tcPr>
            <w:tcW w:type="dxa" w:w="1474"/>
            <w:tcMar>
              <w:top w:w="70" w:type="dxa"/>
              <w:start w:w="80" w:type="dxa"/>
              <w:bottom w:w="70" w:type="dxa"/>
              <w:end w:w="80" w:type="dxa"/>
            </w:tcMar>
            <w:vAlign w:val="top"/>
          </w:tcPr>
          <w:p>
            <w:pPr>
              <w:spacing w:after="0" w:line="240" w:lineRule="auto"/>
            </w:pPr>
            <w:r>
              <w:rPr>
                <w:sz w:val="14"/>
              </w:rPr>
              <w:t>Trajectory/guard-specific</w:t>
            </w:r>
          </w:p>
        </w:tc>
        <w:tc>
          <w:tcPr>
            <w:tcW w:type="dxa" w:w="1531"/>
            <w:tcMar>
              <w:top w:w="70" w:type="dxa"/>
              <w:start w:w="80" w:type="dxa"/>
              <w:bottom w:w="70" w:type="dxa"/>
              <w:end w:w="80" w:type="dxa"/>
            </w:tcMar>
            <w:vAlign w:val="top"/>
          </w:tcPr>
          <w:p>
            <w:pPr>
              <w:spacing w:after="0" w:line="240" w:lineRule="auto"/>
            </w:pPr>
            <w:r>
              <w:rPr>
                <w:sz w:val="14"/>
              </w:rPr>
              <w:t>Strong action/tool mediation</w:t>
            </w:r>
          </w:p>
        </w:tc>
        <w:tc>
          <w:tcPr>
            <w:tcW w:type="dxa" w:w="1417"/>
            <w:tcMar>
              <w:top w:w="70" w:type="dxa"/>
              <w:start w:w="80" w:type="dxa"/>
              <w:bottom w:w="70" w:type="dxa"/>
              <w:end w:w="80" w:type="dxa"/>
            </w:tcMar>
            <w:vAlign w:val="top"/>
          </w:tcPr>
          <w:p>
            <w:pPr>
              <w:spacing w:after="0" w:line="240" w:lineRule="auto"/>
            </w:pPr>
            <w:r>
              <w:rPr>
                <w:sz w:val="14"/>
              </w:rPr>
              <w:t>Runtime/audit hooks</w:t>
            </w:r>
          </w:p>
        </w:tc>
      </w:tr>
    </w:tbl>
    <w:p>
      <w:pPr>
        <w:spacing w:after="20"/>
      </w:pPr>
    </w:p>
    <w:p>
      <w:pPr>
        <w:pStyle w:val="Heading1"/>
        <w:keepNext/>
        <w:spacing w:before="240" w:after="80"/>
      </w:pPr>
      <w:r>
        <w:t>E.16 Novelty Boundary and Non-Claim of Exclusivity</w:t>
      </w:r>
    </w:p>
    <w:p>
      <w:pPr>
        <w:spacing w:after="100" w:line="269" w:lineRule="auto"/>
        <w:ind w:firstLine="312"/>
      </w:pPr>
      <w:r>
        <w:t>ADGL does not claim to invent allow/deny policy, post-access control, provenance, obligations, dataset/model documentation, human review, action authorization, runtime interception, or audit. Recent runtime-governance research makes especially clear that policy enforcement for autonomous agents is already an active field. The proposed contribution should instead be evaluated as a domain-specific semantic composition: a shared Case-scoped chain that distinguishes what may influence computation, what analysis is permitted, and what consequence rights attach to the resulting analysis, with audit across all stages.</w:t>
      </w:r>
    </w:p>
    <w:p>
      <w:pPr>
        <w:spacing w:after="100" w:line="269" w:lineRule="auto"/>
        <w:ind w:firstLine="312"/>
      </w:pPr>
      <w:r>
        <w:t>This is a falsifiable and deliberately conservative novelty claim. If existing standards can carry the same semantics through profiles or mappings with equivalent conformance behavior, interoperability is preferable to a parallel ecosystem. If independent implementations cannot agree on the meaning of the proposed states and transitions, the standardization hypothesis is weakened.</w:t>
      </w:r>
    </w:p>
    <w:p>
      <w:pPr>
        <w:pStyle w:val="Heading1"/>
        <w:keepNext/>
        <w:spacing w:before="240" w:after="80"/>
      </w:pPr>
      <w:r>
        <w:t>E.17 Interoperability and Research Agenda</w:t>
      </w:r>
    </w:p>
    <w:p>
      <w:pPr>
        <w:pStyle w:val="ListBullet"/>
        <w:spacing w:after="40" w:line="259" w:lineRule="auto"/>
      </w:pPr>
      <w:r>
        <w:t>Formalize mappings or profiles for ODRL permissions, duties, constraints, and inheritance.</w:t>
      </w:r>
    </w:p>
    <w:p>
      <w:pPr>
        <w:pStyle w:val="ListBullet"/>
        <w:spacing w:after="40" w:line="259" w:lineRule="auto"/>
      </w:pPr>
      <w:r>
        <w:t>Compile a defined portable subset to XACML, Rego, and/or Cedar and test cross-engine equivalence.</w:t>
      </w:r>
    </w:p>
    <w:p>
      <w:pPr>
        <w:pStyle w:val="ListBullet"/>
        <w:spacing w:after="40" w:line="259" w:lineRule="auto"/>
      </w:pPr>
      <w:r>
        <w:t>Map KnowledgeObjects, Analysis activities, results, human decisions, and actions to W3C PROV.</w:t>
      </w:r>
    </w:p>
    <w:p>
      <w:pPr>
        <w:pStyle w:val="ListBullet"/>
        <w:spacing w:after="40" w:line="259" w:lineRule="auto"/>
      </w:pPr>
      <w:r>
        <w:t>Define MCP/tool integration guidance that separates transport authorization from semantic action authorization.</w:t>
      </w:r>
    </w:p>
    <w:p>
      <w:pPr>
        <w:pStyle w:val="ListBullet"/>
        <w:spacing w:after="40" w:line="259" w:lineRule="auto"/>
      </w:pPr>
      <w:r>
        <w:t>Compare ADGL ACT semantics empirically with AgentSpec, Policy Cards, path-based runtime policies, and action-guard systems rather than relying only on conceptual comparison.</w:t>
      </w:r>
    </w:p>
    <w:p>
      <w:pPr>
        <w:pStyle w:val="ListBullet"/>
        <w:spacing w:after="40" w:line="259" w:lineRule="auto"/>
      </w:pPr>
      <w:r>
        <w:t>Conduct independent implementation and adversarial cross-implementation conformance testing.</w:t>
      </w:r>
    </w:p>
    <w:p>
      <w:pPr>
        <w:pStyle w:val="ListBullet"/>
        <w:spacing w:after="40" w:line="259" w:lineRule="auto"/>
      </w:pPr>
      <w:r>
        <w:t>Evaluate whether human DECIDE Profiles create meaningful oversight rather than nominal checkpoints.</w:t>
      </w:r>
    </w:p>
    <w:p>
      <w:pPr>
        <w:pStyle w:val="Heading1"/>
      </w:pPr>
      <w:r>
        <w:t>E.18 EVIDENTIARY LIMIT OF THE COMPARISON</w:t>
      </w:r>
    </w:p>
    <w:p>
      <w:pPr/>
      <w:r>
        <w:t>The comparisons in this appendix are analytical feature and scope comparisons. They do not constitute completed semantic translations, empirical interoperability experiments, or evidence that established mechanisms cannot represent ADGL cases.</w:t>
      </w:r>
    </w:p>
    <w:p>
      <w:pPr/>
      <w:r>
        <w:t>The decisive next evaluation remains a full mapping of representative ADGL cases to Rego/OPA or Cedar and to ODRL plus PROV, followed by third-party implementation of shared test vectors. Until then, compositional portability and interoperability remain design hypotheses.</w:t>
      </w:r>
    </w:p>
    <w:p>
      <w:pPr>
        <w:pStyle w:val="Heading1"/>
        <w:keepNext/>
        <w:spacing w:before="240" w:after="80"/>
      </w:pPr>
      <w:r>
        <w:t>References</w:t>
      </w:r>
    </w:p>
    <w:p>
      <w:pPr>
        <w:spacing w:after="40" w:line="240" w:lineRule="auto"/>
        <w:ind w:left="283" w:hanging="283"/>
      </w:pPr>
      <w:r>
        <w:rPr>
          <w:sz w:val="17"/>
        </w:rPr>
        <w:t>[1] OASIS, eXtensible Access Control Markup Language (XACML) Version 3.0, OASIS Standard, 2013.</w:t>
      </w:r>
    </w:p>
    <w:p>
      <w:pPr>
        <w:spacing w:after="40" w:line="240" w:lineRule="auto"/>
        <w:ind w:left="283" w:hanging="283"/>
      </w:pPr>
      <w:r>
        <w:rPr>
          <w:sz w:val="17"/>
        </w:rPr>
        <w:t>[2] Open Policy Agent, Policy Language and Authorization Documentation, accessed Aug. 2026.</w:t>
      </w:r>
    </w:p>
    <w:p>
      <w:pPr>
        <w:spacing w:after="40" w:line="240" w:lineRule="auto"/>
        <w:ind w:left="283" w:hanging="283"/>
      </w:pPr>
      <w:r>
        <w:rPr>
          <w:sz w:val="17"/>
        </w:rPr>
        <w:t>[3] Cedar Policy Language, Cedar Policy Language Reference Guide, version 4.5, accessed Aug. 2026.</w:t>
      </w:r>
    </w:p>
    <w:p>
      <w:pPr>
        <w:spacing w:after="40" w:line="240" w:lineRule="auto"/>
        <w:ind w:left="283" w:hanging="283"/>
      </w:pPr>
      <w:r>
        <w:rPr>
          <w:sz w:val="17"/>
        </w:rPr>
        <w:t>[4] J. Park and R. Sandhu, "The UCONABC Usage Control Model," ACM Transactions on Information and System Security, vol. 7, no. 1, pp. 128-174, 2004.</w:t>
      </w:r>
    </w:p>
    <w:p>
      <w:pPr>
        <w:spacing w:after="40" w:line="240" w:lineRule="auto"/>
        <w:ind w:left="283" w:hanging="283"/>
      </w:pPr>
      <w:r>
        <w:rPr>
          <w:sz w:val="17"/>
        </w:rPr>
        <w:t>[5] S. Chong, K. Vikram, and A. C. Myers, "SIF: Enforcing Confidentiality and Integrity in Web Applications," 16th USENIX Security Symposium, 2007.</w:t>
      </w:r>
    </w:p>
    <w:p>
      <w:pPr>
        <w:spacing w:after="40" w:line="240" w:lineRule="auto"/>
        <w:ind w:left="283" w:hanging="283"/>
      </w:pPr>
      <w:r>
        <w:rPr>
          <w:sz w:val="17"/>
        </w:rPr>
        <w:t>[6] W3C, ODRL Information Model 2.2, W3C Recommendation, Feb. 2018.</w:t>
      </w:r>
    </w:p>
    <w:p>
      <w:pPr>
        <w:spacing w:after="40" w:line="240" w:lineRule="auto"/>
        <w:ind w:left="283" w:hanging="283"/>
      </w:pPr>
      <w:r>
        <w:rPr>
          <w:sz w:val="17"/>
        </w:rPr>
        <w:t>[7] W3C, PROV-O: The PROV Ontology, W3C Recommendation, Apr. 2013.</w:t>
      </w:r>
    </w:p>
    <w:p>
      <w:pPr>
        <w:spacing w:after="40" w:line="240" w:lineRule="auto"/>
        <w:ind w:left="283" w:hanging="283"/>
      </w:pPr>
      <w:r>
        <w:rPr>
          <w:sz w:val="17"/>
        </w:rPr>
        <w:t>[8] K. Guu et al., "REALM: Retrieval-Augmented Language Model Pre-Training," ICML, 2020.</w:t>
      </w:r>
    </w:p>
    <w:p>
      <w:pPr>
        <w:spacing w:after="40" w:line="240" w:lineRule="auto"/>
        <w:ind w:left="283" w:hanging="283"/>
      </w:pPr>
      <w:r>
        <w:rPr>
          <w:sz w:val="17"/>
        </w:rPr>
        <w:t>[9] P. Lewis et al., "Retrieval-Augmented Generation for Knowledge-Intensive NLP Tasks," NeurIPS, 2020.</w:t>
      </w:r>
    </w:p>
    <w:p>
      <w:pPr>
        <w:spacing w:after="40" w:line="240" w:lineRule="auto"/>
        <w:ind w:left="283" w:hanging="283"/>
      </w:pPr>
      <w:r>
        <w:rPr>
          <w:sz w:val="17"/>
        </w:rPr>
        <w:t>[10] K. Greshake et al., "More than you've asked for: A Comprehensive Analysis of Novel Prompt Injection Threats to Application-Integrated Large Language Models," arXiv:2302.12173, 2023.</w:t>
      </w:r>
    </w:p>
    <w:p>
      <w:pPr>
        <w:spacing w:after="40" w:line="240" w:lineRule="auto"/>
        <w:ind w:left="283" w:hanging="283"/>
      </w:pPr>
      <w:r>
        <w:rPr>
          <w:sz w:val="17"/>
        </w:rPr>
        <w:t>[11] E. M. Bender and B. Friedman, "Data Statements for Natural Language Processing," TACL, vol. 6, pp. 587-604, 2018.</w:t>
      </w:r>
    </w:p>
    <w:p>
      <w:pPr>
        <w:spacing w:after="40" w:line="240" w:lineRule="auto"/>
        <w:ind w:left="283" w:hanging="283"/>
      </w:pPr>
      <w:r>
        <w:rPr>
          <w:sz w:val="17"/>
        </w:rPr>
        <w:t>[12] T. Gebru et al., "Datasheets for Datasets," Communications of the ACM, vol. 64, no. 12, pp. 86-92, 2021.</w:t>
      </w:r>
    </w:p>
    <w:p>
      <w:pPr>
        <w:spacing w:after="40" w:line="240" w:lineRule="auto"/>
        <w:ind w:left="283" w:hanging="283"/>
      </w:pPr>
      <w:r>
        <w:rPr>
          <w:sz w:val="17"/>
        </w:rPr>
        <w:t>[13] M. Mitchell et al., "Model Cards for Model Reporting," FAT* 2019, pp. 220-229, 2019.</w:t>
      </w:r>
    </w:p>
    <w:p>
      <w:pPr>
        <w:spacing w:after="40" w:line="240" w:lineRule="auto"/>
        <w:ind w:left="283" w:hanging="283"/>
      </w:pPr>
      <w:r>
        <w:rPr>
          <w:sz w:val="17"/>
        </w:rPr>
        <w:t>[14] D. Sculley et al., "Hidden Technical Debt in Machine Learning Systems," NeurIPS, 2015.</w:t>
      </w:r>
    </w:p>
    <w:p>
      <w:pPr>
        <w:spacing w:after="40" w:line="240" w:lineRule="auto"/>
        <w:ind w:left="283" w:hanging="283"/>
      </w:pPr>
      <w:r>
        <w:rPr>
          <w:sz w:val="17"/>
        </w:rPr>
        <w:t>[15] E. Breck et al., "The ML Test Score," IEEE Big Data, 2017.</w:t>
      </w:r>
    </w:p>
    <w:p>
      <w:pPr>
        <w:spacing w:after="40" w:line="240" w:lineRule="auto"/>
        <w:ind w:left="283" w:hanging="283"/>
      </w:pPr>
      <w:r>
        <w:rPr>
          <w:sz w:val="17"/>
        </w:rPr>
        <w:t>[16] S. Amershi et al., "Software Engineering for Machine Learning: A Case Study," ICSE SEIP, 2019.</w:t>
      </w:r>
    </w:p>
    <w:p>
      <w:pPr>
        <w:spacing w:after="40" w:line="240" w:lineRule="auto"/>
        <w:ind w:left="283" w:hanging="283"/>
      </w:pPr>
      <w:r>
        <w:rPr>
          <w:sz w:val="17"/>
        </w:rPr>
        <w:t>[17] I. D. Raji et al., "Closing the AI Accountability Gap," FAT* 2020, 2020.</w:t>
      </w:r>
    </w:p>
    <w:p>
      <w:pPr>
        <w:spacing w:after="40" w:line="240" w:lineRule="auto"/>
        <w:ind w:left="283" w:hanging="283"/>
      </w:pPr>
      <w:r>
        <w:rPr>
          <w:sz w:val="17"/>
        </w:rPr>
        <w:t>[18] V. Ojewale et al., "Towards AI Accountability Infrastructure: Gaps and Opportunities in AI Audit Tooling," arXiv:2402.17861, revised 2025.</w:t>
      </w:r>
    </w:p>
    <w:p>
      <w:pPr>
        <w:spacing w:after="40" w:line="240" w:lineRule="auto"/>
        <w:ind w:left="283" w:hanging="283"/>
      </w:pPr>
      <w:r>
        <w:rPr>
          <w:sz w:val="17"/>
        </w:rPr>
        <w:t>[19] R. Parasuraman, T. B. Sheridan, and C. D. Wickens, "A Model for Types and Levels of Human Interaction with Automation," IEEE SMC-A, vol. 30, no. 3, pp. 286-297, 2000.</w:t>
      </w:r>
    </w:p>
    <w:p>
      <w:pPr>
        <w:spacing w:after="40" w:line="240" w:lineRule="auto"/>
        <w:ind w:left="283" w:hanging="283"/>
      </w:pPr>
      <w:r>
        <w:rPr>
          <w:sz w:val="17"/>
        </w:rPr>
        <w:t>[20] L. Bainbridge, "Ironies of Automation," Automatica, vol. 19, no. 6, pp. 775-779, 1983.</w:t>
      </w:r>
    </w:p>
    <w:p>
      <w:pPr>
        <w:spacing w:after="40" w:line="240" w:lineRule="auto"/>
        <w:ind w:left="283" w:hanging="283"/>
      </w:pPr>
      <w:r>
        <w:rPr>
          <w:sz w:val="17"/>
        </w:rPr>
        <w:t>[21] M. R. Endsley and E. O. Kiris, "The Out-of-the-Loop Performance Problem and Level of Control in Automation," Human Factors, vol. 37, no. 2, pp. 381-394, 1995.</w:t>
      </w:r>
    </w:p>
    <w:p>
      <w:pPr>
        <w:spacing w:after="40" w:line="240" w:lineRule="auto"/>
        <w:ind w:left="283" w:hanging="283"/>
      </w:pPr>
      <w:r>
        <w:rPr>
          <w:sz w:val="17"/>
        </w:rPr>
        <w:t>[22] Model Context Protocol, Authorization Specification, version 2026-07-28, 2026.</w:t>
      </w:r>
    </w:p>
    <w:p>
      <w:pPr>
        <w:spacing w:after="40" w:line="240" w:lineRule="auto"/>
        <w:ind w:left="283" w:hanging="283"/>
      </w:pPr>
      <w:r>
        <w:rPr>
          <w:sz w:val="17"/>
        </w:rPr>
        <w:t>[23] National Institute of Standards and Technology, AI Agent Standards Initiative, 2026.</w:t>
      </w:r>
    </w:p>
    <w:p>
      <w:pPr>
        <w:spacing w:after="40" w:line="240" w:lineRule="auto"/>
        <w:ind w:left="283" w:hanging="283"/>
      </w:pPr>
      <w:r>
        <w:rPr>
          <w:sz w:val="17"/>
        </w:rPr>
        <w:t>[24] H. Booth, B. Fisher, R. Galluzzo, and J. Roberts, Accelerating the Adoption of Software and AI Agent Identity and Authorization, NCCoE Draft Concept Paper, Feb. 2026.</w:t>
      </w:r>
    </w:p>
    <w:p>
      <w:pPr>
        <w:spacing w:after="40" w:line="240" w:lineRule="auto"/>
        <w:ind w:left="283" w:hanging="283"/>
      </w:pPr>
      <w:r>
        <w:rPr>
          <w:sz w:val="17"/>
        </w:rPr>
        <w:t>[25] J. Mavračić, "Policy Cards: Machine-Readable Runtime Governance for Autonomous AI Agents," arXiv:2510.24383, 2025.</w:t>
      </w:r>
    </w:p>
    <w:p>
      <w:pPr>
        <w:spacing w:after="40" w:line="240" w:lineRule="auto"/>
        <w:ind w:left="283" w:hanging="283"/>
      </w:pPr>
      <w:r>
        <w:rPr>
          <w:sz w:val="17"/>
        </w:rPr>
        <w:t>[26] H. Wang, C. M. Poskitt, and J. Sun, "AgentSpec: Customizable Runtime Enforcement for Safe and Reliable LLM Agents," arXiv:2503.18666, 2025.</w:t>
      </w:r>
    </w:p>
    <w:p>
      <w:pPr>
        <w:spacing w:after="40" w:line="240" w:lineRule="auto"/>
        <w:ind w:left="283" w:hanging="283"/>
      </w:pPr>
      <w:r>
        <w:rPr>
          <w:sz w:val="17"/>
        </w:rPr>
        <w:t>[27] M. Kaptein, V.-J. Khan, and A. Podstavnychy, "Runtime Governance for AI Agents: Policies on Paths," arXiv:2603.16586, 2026.</w:t>
      </w:r>
    </w:p>
    <w:p>
      <w:pPr>
        <w:spacing w:after="40" w:line="240" w:lineRule="auto"/>
        <w:ind w:left="283" w:hanging="283"/>
      </w:pPr>
      <w:r>
        <w:rPr>
          <w:sz w:val="17"/>
        </w:rPr>
        <w:t>[28] B. Wang et al., "Safety Sidecar: Reflection-Driven Runtime Control for Safer Agents," Findings of ACL 2026, pp. 30842-30856, 2026.</w:t>
      </w:r>
    </w:p>
    <w:p>
      <w:pPr>
        <w:spacing w:after="40" w:line="240" w:lineRule="auto"/>
        <w:ind w:left="283" w:hanging="283"/>
      </w:pPr>
      <w:r>
        <w:rPr>
          <w:sz w:val="17"/>
        </w:rPr>
        <w:t>[29] N. Zwerdling et al., "Towards Enforcing Company Policy Adherence in Agentic Workflows," EMNLP 2025 Industry Track, pp. 595-606, 2025.</w:t>
      </w:r>
    </w:p>
    <w:p>
      <w:pPr>
        <w:spacing w:after="40" w:line="240" w:lineRule="auto"/>
        <w:ind w:left="283" w:hanging="283"/>
      </w:pPr>
      <w:r>
        <w:rPr>
          <w:sz w:val="17"/>
        </w:rPr>
        <w:t>[30] E. Tabassi, Artificial Intelligence Risk Management Framework (AI RMF 1.0), NIST AI 100-1, 2023.</w:t>
      </w:r>
    </w:p>
    <w:p>
      <w:pPr>
        <w:spacing w:after="40" w:line="240" w:lineRule="auto"/>
        <w:ind w:left="283" w:hanging="283"/>
      </w:pPr>
      <w:r>
        <w:rPr>
          <w:sz w:val="17"/>
        </w:rPr>
        <w:t>[31] C. Autio et al., Artificial Intelligence Risk Management Framework: Generative Artificial Intelligence Profile, NIST AI 600-1, 2024.</w:t>
      </w:r>
    </w:p>
    <w:p>
      <w:pPr>
        <w:spacing w:after="40" w:line="240" w:lineRule="auto"/>
        <w:ind w:left="283" w:hanging="283"/>
      </w:pPr>
      <w:r>
        <w:rPr>
          <w:sz w:val="17"/>
        </w:rPr>
        <w:t>[32] ISO/IEC 42001:2023, Information technology - Artificial intelligence - Management system, 2023.</w:t>
      </w:r>
    </w:p>
    <w:p>
      <w:pPr>
        <w:spacing w:after="40" w:line="240" w:lineRule="auto"/>
        <w:ind w:left="283" w:hanging="283"/>
      </w:pPr>
      <w:r>
        <w:rPr>
          <w:sz w:val="17"/>
        </w:rPr>
        <w:t>[33] European Parliament and Council, Regulation (EU) 2024/1689 laying down harmonised rules on artificial intelligence, 2024.</w:t>
      </w:r>
    </w:p>
    <w:p>
      <w:pPr>
        <w:spacing w:after="40" w:line="240" w:lineRule="auto"/>
        <w:ind w:left="283" w:hanging="283"/>
      </w:pPr>
      <w:r>
        <w:rPr>
          <w:sz w:val="17"/>
        </w:rPr>
        <w:t>[34] OpenAI, "OpenAI and Hugging Face partner to address security incident during model evaluation," July 21, 2026, with updates through July 29, 2026.</w:t>
      </w:r>
    </w:p>
    <w:p>
      <w:pPr>
        <w:spacing w:after="40" w:line="240" w:lineRule="auto"/>
        <w:ind w:left="283" w:hanging="283"/>
      </w:pPr>
      <w:r>
        <w:rPr>
          <w:sz w:val="17"/>
        </w:rPr>
        <w:t>[35] J. Riggs, M. Hamin, N. Perry, B. Edelman, and P. Cihon, Summary Analysis of Responses to the Request for Information Regarding Security Considerations for AI Agents, NIST AI 800-5, May 2026.</w:t>
      </w:r>
    </w:p>
    <w:sectPr w:rsidR="00FC693F" w:rsidRPr="0006063C" w:rsidSect="00034616">
      <w:headerReference w:type="default" r:id="rId9"/>
      <w:footerReference w:type="default" r:id="rId10"/>
      <w:pgSz w:w="11906" w:h="16838"/>
      <w:pgMar w:top="1162" w:right="1219" w:bottom="1049" w:left="1219" w:header="454"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A5A5A"/>
        <w:sz w:val="16"/>
      </w:rPr>
      <w:t xml:space="preserve">GBSN Research | Research Release 0.4.3 | </w:t>
    </w: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5A5A5A"/>
        <w:sz w:val="16"/>
      </w:rPr>
      <w:t>ADGL Appendix E - Academic Preprint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ADGL Appendix E - Comparative Analysis of Existing Governance Mechanisms</dc:title>
  <dc:subject>ADGL academic preprint appendix</dc:subject>
  <dc:creator>GBSN Research</dc:creator>
  <cp:keywords>ADGL, AI governance, conformance, comparative analysis</cp:keywords>
  <dc:description>generated by python-docx</dc:description>
  <cp:lastModifiedBy>GBSN Research</cp:lastModifiedBy>
  <cp:revision>1</cp:revision>
  <dcterms:created xsi:type="dcterms:W3CDTF">2013-12-23T23:15:00Z</dcterms:created>
  <dcterms:modified xsi:type="dcterms:W3CDTF">2013-12-23T23:15:00Z</dcterms:modified>
  <cp:category/>
</cp:coreProperties>
</file>