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t>AI Data Governance Layer (ADGL):</w:t>
        <w:br/>
        <w:t>Governing Knowledge, Analysis, and Consequences in Model-Agnostic AI Systems</w:t>
        <w:br/>
        <w:t>Submission Draft v1.2</w:t>
      </w:r>
    </w:p>
    <w:p>
      <w:pPr>
        <w:spacing w:after="40"/>
        <w:jc w:val="center"/>
      </w:pPr>
      <w:r>
        <w:t>GBSN Research</w:t>
      </w:r>
    </w:p>
    <w:p>
      <w:pPr>
        <w:spacing w:after="200"/>
        <w:jc w:val="center"/>
      </w:pPr>
      <w:r>
        <w:t>Lisbon, Portugal | Correspondence: publications@gbsnresearch.com</w:t>
      </w:r>
    </w:p>
    <w:p>
      <w:pPr>
        <w:pStyle w:val="Abstract"/>
        <w:spacing w:after="100"/>
      </w:pPr>
      <w:r>
        <w:t>Abstract - Artificial intelligence systems increasingly operate as execution chains rather than isolated models: they retrieve or receive information, transform that information through one or more analytical procedures, and then return, recommend, or trigger consequential outcomes. Existing governance mechanisms address important parts of this chain - including organizational risk, access control, usage rights, provenance, model documentation, human oversight, and agent authorization - but they do not by themselves provide a shared runtime semantic contract for three distinct questions: what knowledge may influence a case, what analysis may be performed on that knowledge, and what consequence a governed result may produce. This paper develops the AI Data Governance Layer (ADGL) as a model-, storage-, retrieval-, and enforcement-agnostic policy architecture organized into Knowledge Governance, Analysis Governance, and Consequence Governance, with Audit and Provenance as a cross-cutting plane. The architecture is derived from a synthesis of prior work in usage control, information-flow control, provenance, data/model documentation, production ML engineering, algorithmic auditing, human-automation interaction, retrieval-augmented systems, prompt-injection research, and current agent-security standardization. ADGL distinguishes INFORM, DECIDE, and ACT consequences so that informational systems, human-owned decisions, and machine-executable actions can share one semantic architecture without making autonomous action the default. An executable reference toolkit implements the proposed semantics through eight reference cases and 25 published normative conformance checks; a later toolkit revision adds 11 candidate execution-integrity checks that are reported separately from the normative evaluation. The paper presents the design requirements, formal execution model, implementation boundaries, initial performance characterization, comparative positioning, limitations, and open questions relevant to possible standardization.</w:t>
      </w:r>
    </w:p>
    <w:p>
      <w:pPr>
        <w:pStyle w:val="Abstract"/>
        <w:spacing w:after="160"/>
      </w:pPr>
      <w:r>
        <w:t>Keywords - AI governance; data governance; knowledge governance; analysis governance; decision rights; policy-as-code; provenance; human oversight; autonomous action; AI agents; conformance; runtime governance.</w:t>
      </w:r>
    </w:p>
    <w:p>
      <w:pPr>
        <w:pStyle w:val="Heading1"/>
        <w:keepNext/>
        <w:spacing w:before="240" w:after="80"/>
      </w:pPr>
      <w:r>
        <w:t>1. Introduction</w:t>
      </w:r>
    </w:p>
    <w:p>
      <w:pPr>
        <w:spacing w:after="100" w:line="269" w:lineRule="auto"/>
        <w:ind w:firstLine="312"/>
      </w:pPr>
      <w:r>
        <w:t>Artificial intelligence systems are increasingly embedded in information pipelines, analytical services, decision-support tools, and workflow automation. In such systems, the model is only one component of a larger execution path. A request may cause retrieval from internal or external sources, aggregation of evidence, transformation or inference, model selection, human review, and - in some deployments - an external side effect such as an API call, database update, workflow transition, or message. This expansion changes the governance problem. The relevant question is no longer only whether a user or service may access a resource; it is also whether that resource may influence a particular analysis, whether the chosen analytical procedure is permitted, and whether the resulting output carries authority to cause something beyond being displayed or stored.</w:t>
      </w:r>
    </w:p>
    <w:p>
      <w:pPr>
        <w:spacing w:after="100" w:line="269" w:lineRule="auto"/>
        <w:ind w:firstLine="312"/>
      </w:pPr>
      <w:r>
        <w:t>The distinction is not merely terminological. Access control, usage control, and information-flow control established long before current generative AI that authorization at an initial boundary does not exhaust the problem of governing information after access [5], [8], [11]. More recent work on dataset documentation, model reporting, production ML engineering, and algorithmic auditing similarly shows that reliability and accountability depend on the conditions under which data and models are selected, transformed, evaluated, and monitored [12]-[19]. Human-factors research adds a further distinction: automation of information analysis and automation of decision or action selection are separable design choices with different consequences for human authority, situation awareness, and takeover performance [20]-[22]. Current agentic systems make these older distinctions operationally urgent because models may now interleave reasoning with retrieval and tool use [24], while indirect prompt injection can turn retrieved content into instructions that alter system behavior [23].</w:t>
      </w:r>
    </w:p>
    <w:p>
      <w:pPr>
        <w:spacing w:after="100" w:line="269" w:lineRule="auto"/>
        <w:ind w:firstLine="312"/>
      </w:pPr>
      <w:r>
        <w:t>The AI Data Governance Layer (ADGL) is proposed as a semantic layer for this execution chain. It is organized around three stages: Knowledge Governance, which decides what information may participate and in what evidentiary role; Analysis Governance, which decides what methods, models, tools, transformations, and validation conditions may be applied; and Consequence Governance, which decides what a governed result may be allowed to cause. Audit and Provenance span the complete trajectory. Consequence Governance distinguishes INFORM, DECIDE, and ACT. INFORM produces an informational result without authorizing a consequential external action. DECIDE assigns the next consequential choice to a human or accountable role. ACT permits a machine-executable instruction, subject to explicit authorization and external enforcement.</w:t>
      </w:r>
    </w:p>
    <w:p>
      <w:pPr>
        <w:spacing w:after="100" w:line="269" w:lineRule="auto"/>
        <w:ind w:firstLine="312"/>
      </w:pPr>
      <w:r>
        <w:t>ADGL is not presented as a replacement for IAM, XACML, OPA, Cedar, UCON, ODRL, PROV, MCP, NIST AI RMF, ISO/IEC 42001, the EU AI Act, or security infrastructure. Many of those mechanisms can encode or enforce rules that overlap with ADGL. The standardization hypothesis is narrower: heterogeneous AI and analytical systems may benefit from a portable domain vocabulary and conformance model that preserves the semantic chain from knowledge influence through analytical computation to consequence disposition and audit. Appendix E provides the detailed comparative analysis; this paper focuses on the conceptual derivation, formal architecture, and initial executable evaluation.</w:t>
      </w:r>
    </w:p>
    <w:p>
      <w:pPr>
        <w:spacing w:after="100" w:line="269" w:lineRule="auto"/>
        <w:ind w:firstLine="312"/>
      </w:pPr>
      <w:r>
        <w:t>The principal contributions are: (1) an academically grounded three-stage governance architecture; (2) an explicit distinction between informational output, human-owned decision authority, and machine action; (3) a separation between human validation inside analysis and human decision ownership after analysis; (4) semantics for provenance, lifecycle, evidentiary role, model/tool eligibility, conflict preservation, action authorization, and feedback; (5) a Case abstraction that binds policy to concrete purpose and context; and (6) an executable reference toolkit with normative conformance cases and reproducible deterministic performance baselines.</w:t>
      </w:r>
    </w:p>
    <w:p>
      <w:pPr>
        <w:pStyle w:val="Heading1"/>
        <w:keepNext/>
        <w:spacing w:before="240" w:after="80"/>
      </w:pPr>
      <w:r>
        <w:t>2. Problem Context and Research Questions</w:t>
      </w:r>
    </w:p>
    <w:p>
      <w:pPr>
        <w:pStyle w:val="Heading2"/>
        <w:keepNext/>
        <w:spacing w:before="160" w:after="80"/>
      </w:pPr>
      <w:r>
        <w:t>2.1 From data access to execution chains</w:t>
      </w:r>
    </w:p>
    <w:p>
      <w:pPr>
        <w:spacing w:after="100" w:line="269" w:lineRule="auto"/>
        <w:ind w:firstLine="312"/>
      </w:pPr>
      <w:r>
        <w:t>Classical data governance commonly addresses ownership, stewardship, classification, quality, lineage, retention, and access. Those concerns remain necessary, but AI-enabled systems add an execution problem: technically available information can be selected as evidence, transformed by a model or algorithm, combined with other sources, and converted into recommendations or actions. Data quality failures can propagate downstream as what Sambasivan et al. describe as data cascades [15], while production ML studies show that data dependencies, hidden feedback loops, undeclared consumers, and system entanglement create failure modes that are not visible from model accuracy alone [16], [17].</w:t>
      </w:r>
    </w:p>
    <w:p>
      <w:pPr>
        <w:spacing w:after="100" w:line="269" w:lineRule="auto"/>
        <w:ind w:firstLine="312"/>
      </w:pPr>
      <w:r>
        <w:t>Retrieval-augmented systems make the boundary especially explicit. RAG and REALM demonstrate the benefits of augmenting parametric models with external knowledge [14], [13], but retrieval relevance is not equivalent to governance admissibility. A search engine may correctly retrieve a draft, superseded policy, low-integrity source, or document whose jurisdiction does not govern the current case. Documentation mechanisms such as data statements, datasheets, and model cards improve transparency about origin, intended use, and limitations [12], [18], [19], but documentation alone does not decide, at runtime, whether a particular object may influence a particular case or whether an analytical result may authorize a downstream action.</w:t>
      </w:r>
    </w:p>
    <w:p>
      <w:pPr>
        <w:pStyle w:val="Heading2"/>
        <w:keepNext/>
        <w:spacing w:before="160" w:after="80"/>
      </w:pPr>
      <w:r>
        <w:t>2.2 Why one governance boundary is insufficient</w:t>
      </w:r>
    </w:p>
    <w:p>
      <w:pPr>
        <w:spacing w:after="100" w:line="269" w:lineRule="auto"/>
        <w:ind w:firstLine="312"/>
      </w:pPr>
      <w:r>
        <w:t>The architecture begins from four non-equivalences. First, accessible knowledge is not necessarily admissible evidence. Second, admissible evidence does not imply permission to apply any analytical method or model. Third, a valid analytical result does not automatically confer decision authority. Fourth, a decision that an action is appropriate does not itself establish technical authorization to execute the action. Collapsing these distinctions creates hidden authority transfers: retrieval becomes evidence selection; model invocation becomes analytical authorization; confidence becomes decision authority; and a generated tool call becomes permission to act.</w:t>
      </w:r>
    </w:p>
    <w:p>
      <w:pPr>
        <w:spacing w:after="100" w:line="269" w:lineRule="auto"/>
        <w:ind w:firstLine="312"/>
      </w:pPr>
      <w:r>
        <w:t>Prior governance mechanisms illuminate individual boundaries but are typically optimized for different objects. XACML, OPA, and Cedar are general-purpose authorization/policy systems [5]-[7]. UCON extends control into ongoing usage and mutable attributes [8]. ODRL represents permissions, prohibitions, duties, and constraints over assets [9]. PROV represents lineage and derivation [10]. NIST AI RMF and ISO/IEC 42001 operate at organizational risk-management and management-system levels [1]-[3]. The EU AI Act imposes legal obligations in defined contexts [4]. MCP standardizes interoperability and transport-level authorization for tools and resources [25]. The question addressed by ADGL is not whether those mechanisms are expressive; it is whether a shared execution-specific vocabulary spanning knowledge influence, analysis, consequence, and audit is useful across them.</w:t>
      </w:r>
    </w:p>
    <w:p>
      <w:pPr>
        <w:pStyle w:val="Heading2"/>
        <w:keepNext/>
        <w:spacing w:before="160" w:after="80"/>
      </w:pPr>
      <w:r>
        <w:t>2.3 Research questions</w:t>
      </w:r>
    </w:p>
    <w:tbl>
      <w:tblPr>
        <w:tblStyle w:val="TableGrid"/>
        <w:tblW w:type="auto" w:w="0"/>
        <w:jc w:val="center"/>
        <w:tblLook w:firstColumn="1" w:firstRow="1" w:lastColumn="0" w:lastRow="0" w:noHBand="0" w:noVBand="1" w:val="04A0"/>
      </w:tblPr>
      <w:tblGrid>
        <w:gridCol w:w="4734"/>
        <w:gridCol w:w="4734"/>
      </w:tblGrid>
      <w:tr>
        <w:trPr>
          <w:tblHeader w:val="true"/>
          <w:tblHeader w:val="true"/>
          <w:tblHeader w:val="true"/>
        </w:trPr>
        <w:tc>
          <w:tcPr>
            <w:tcW w:type="dxa" w:w="1247"/>
            <w:shd w:fill="E7E6E6"/>
            <w:vAlign w:val="center"/>
            <w:tcMar>
              <w:top w:w="80" w:type="dxa"/>
              <w:start w:w="80" w:type="dxa"/>
              <w:bottom w:w="80" w:type="dxa"/>
              <w:end w:w="80" w:type="dxa"/>
              <w:top w:w="80" w:type="dxa"/>
              <w:left w:w="80" w:type="dxa"/>
              <w:bottom w:w="80" w:type="dxa"/>
              <w:right w:w="80" w:type="dxa"/>
            </w:tcMar>
          </w:tcPr>
          <w:p>
            <w:pPr>
              <w:spacing w:after="0"/>
            </w:pPr>
            <w:r>
              <w:rPr>
                <w:b/>
                <w:sz w:val="17"/>
              </w:rPr>
              <w:t>Research question</w:t>
            </w:r>
          </w:p>
        </w:tc>
        <w:tc>
          <w:tcPr>
            <w:tcW w:type="dxa" w:w="7824"/>
            <w:shd w:fill="E7E6E6"/>
            <w:vAlign w:val="center"/>
            <w:tcMar>
              <w:top w:w="80" w:type="dxa"/>
              <w:start w:w="80" w:type="dxa"/>
              <w:bottom w:w="80" w:type="dxa"/>
              <w:end w:w="80" w:type="dxa"/>
              <w:top w:w="80" w:type="dxa"/>
              <w:left w:w="80" w:type="dxa"/>
              <w:bottom w:w="80" w:type="dxa"/>
              <w:right w:w="80" w:type="dxa"/>
            </w:tcMar>
          </w:tcPr>
          <w:p>
            <w:pPr>
              <w:spacing w:after="0"/>
            </w:pPr>
            <w:r>
              <w:rPr>
                <w:b/>
                <w:sz w:val="17"/>
              </w:rPr>
              <w:t>Scope</w:t>
            </w:r>
          </w:p>
        </w:tc>
      </w:tr>
      <w:tr>
        <w:trPr>
          <w:cantSplit/>
        </w:trPr>
        <w:tc>
          <w:tcPr>
            <w:tcW w:type="dxa" w:w="1247"/>
            <w:vAlign w:val="top"/>
            <w:tcMar>
              <w:top w:w="80" w:type="dxa"/>
              <w:start w:w="80" w:type="dxa"/>
              <w:bottom w:w="80" w:type="dxa"/>
              <w:end w:w="80" w:type="dxa"/>
              <w:top w:w="80" w:type="dxa"/>
              <w:left w:w="80" w:type="dxa"/>
              <w:bottom w:w="80" w:type="dxa"/>
              <w:right w:w="80" w:type="dxa"/>
            </w:tcMar>
          </w:tcPr>
          <w:p>
            <w:pPr>
              <w:spacing w:after="0" w:line="240" w:lineRule="auto"/>
            </w:pPr>
            <w:r>
              <w:rPr>
                <w:sz w:val="17"/>
              </w:rPr>
              <w:t>RQ1</w:t>
            </w:r>
          </w:p>
        </w:tc>
        <w:tc>
          <w:tcPr>
            <w:tcW w:type="dxa" w:w="7824"/>
            <w:vAlign w:val="top"/>
            <w:tcMar>
              <w:top w:w="80" w:type="dxa"/>
              <w:start w:w="80" w:type="dxa"/>
              <w:bottom w:w="80" w:type="dxa"/>
              <w:end w:w="80" w:type="dxa"/>
              <w:top w:w="80" w:type="dxa"/>
              <w:left w:w="80" w:type="dxa"/>
              <w:bottom w:w="80" w:type="dxa"/>
              <w:right w:w="80" w:type="dxa"/>
            </w:tcMar>
          </w:tcPr>
          <w:p>
            <w:pPr>
              <w:spacing w:after="0" w:line="240" w:lineRule="auto"/>
            </w:pPr>
            <w:r>
              <w:rPr>
                <w:sz w:val="17"/>
              </w:rPr>
              <w:t>How can governance distinguish information availability from permissible evidentiary influence in heterogeneous AI-enabled systems?</w:t>
            </w:r>
          </w:p>
        </w:tc>
      </w:tr>
      <w:tr>
        <w:trPr>
          <w:cantSplit/>
        </w:trPr>
        <w:tc>
          <w:tcPr>
            <w:tcW w:type="dxa" w:w="1247"/>
            <w:vAlign w:val="top"/>
            <w:tcMar>
              <w:top w:w="80" w:type="dxa"/>
              <w:start w:w="80" w:type="dxa"/>
              <w:bottom w:w="80" w:type="dxa"/>
              <w:end w:w="80" w:type="dxa"/>
              <w:top w:w="80" w:type="dxa"/>
              <w:left w:w="80" w:type="dxa"/>
              <w:bottom w:w="80" w:type="dxa"/>
              <w:right w:w="80" w:type="dxa"/>
            </w:tcMar>
          </w:tcPr>
          <w:p>
            <w:pPr>
              <w:spacing w:after="0" w:line="240" w:lineRule="auto"/>
            </w:pPr>
            <w:r>
              <w:rPr>
                <w:sz w:val="17"/>
              </w:rPr>
              <w:t>RQ2</w:t>
            </w:r>
          </w:p>
        </w:tc>
        <w:tc>
          <w:tcPr>
            <w:tcW w:type="dxa" w:w="7824"/>
            <w:vAlign w:val="top"/>
            <w:tcMar>
              <w:top w:w="80" w:type="dxa"/>
              <w:start w:w="80" w:type="dxa"/>
              <w:bottom w:w="80" w:type="dxa"/>
              <w:end w:w="80" w:type="dxa"/>
              <w:top w:w="80" w:type="dxa"/>
              <w:left w:w="80" w:type="dxa"/>
              <w:bottom w:w="80" w:type="dxa"/>
              <w:right w:w="80" w:type="dxa"/>
            </w:tcMar>
          </w:tcPr>
          <w:p>
            <w:pPr>
              <w:spacing w:after="0" w:line="240" w:lineRule="auto"/>
            </w:pPr>
            <w:r>
              <w:rPr>
                <w:sz w:val="17"/>
              </w:rPr>
              <w:t>How can governance extend from knowledge selection to the analytical methods, models, tools, and validation processes applied to that knowledge?</w:t>
            </w:r>
          </w:p>
        </w:tc>
      </w:tr>
      <w:tr>
        <w:trPr>
          <w:cantSplit/>
        </w:trPr>
        <w:tc>
          <w:tcPr>
            <w:tcW w:type="dxa" w:w="1247"/>
            <w:vAlign w:val="top"/>
            <w:tcMar>
              <w:top w:w="80" w:type="dxa"/>
              <w:start w:w="80" w:type="dxa"/>
              <w:bottom w:w="80" w:type="dxa"/>
              <w:end w:w="80" w:type="dxa"/>
              <w:top w:w="80" w:type="dxa"/>
              <w:left w:w="80" w:type="dxa"/>
              <w:bottom w:w="80" w:type="dxa"/>
              <w:right w:w="80" w:type="dxa"/>
            </w:tcMar>
          </w:tcPr>
          <w:p>
            <w:pPr>
              <w:spacing w:after="0" w:line="240" w:lineRule="auto"/>
            </w:pPr>
            <w:r>
              <w:rPr>
                <w:sz w:val="17"/>
              </w:rPr>
              <w:t>RQ3</w:t>
            </w:r>
          </w:p>
        </w:tc>
        <w:tc>
          <w:tcPr>
            <w:tcW w:type="dxa" w:w="7824"/>
            <w:vAlign w:val="top"/>
            <w:tcMar>
              <w:top w:w="80" w:type="dxa"/>
              <w:start w:w="80" w:type="dxa"/>
              <w:bottom w:w="80" w:type="dxa"/>
              <w:end w:w="80" w:type="dxa"/>
              <w:top w:w="80" w:type="dxa"/>
              <w:left w:w="80" w:type="dxa"/>
              <w:bottom w:w="80" w:type="dxa"/>
              <w:right w:w="80" w:type="dxa"/>
            </w:tcMar>
          </w:tcPr>
          <w:p>
            <w:pPr>
              <w:spacing w:after="0" w:line="240" w:lineRule="auto"/>
            </w:pPr>
            <w:r>
              <w:rPr>
                <w:sz w:val="17"/>
              </w:rPr>
              <w:t>How can informational outputs, human-owned decisions, and machine-executable actions be represented within one architecture without treating autonomous execution as the default?</w:t>
            </w:r>
          </w:p>
        </w:tc>
      </w:tr>
      <w:tr>
        <w:trPr>
          <w:cantSplit/>
        </w:trPr>
        <w:tc>
          <w:tcPr>
            <w:tcW w:type="dxa" w:w="1247"/>
            <w:vAlign w:val="top"/>
            <w:tcMar>
              <w:top w:w="80" w:type="dxa"/>
              <w:start w:w="80" w:type="dxa"/>
              <w:bottom w:w="80" w:type="dxa"/>
              <w:end w:w="80" w:type="dxa"/>
              <w:top w:w="80" w:type="dxa"/>
              <w:left w:w="80" w:type="dxa"/>
              <w:bottom w:w="80" w:type="dxa"/>
              <w:right w:w="80" w:type="dxa"/>
            </w:tcMar>
          </w:tcPr>
          <w:p>
            <w:pPr>
              <w:spacing w:after="0" w:line="240" w:lineRule="auto"/>
            </w:pPr>
            <w:r>
              <w:rPr>
                <w:sz w:val="17"/>
              </w:rPr>
              <w:t>RQ4</w:t>
            </w:r>
          </w:p>
        </w:tc>
        <w:tc>
          <w:tcPr>
            <w:tcW w:type="dxa" w:w="7824"/>
            <w:vAlign w:val="top"/>
            <w:tcMar>
              <w:top w:w="80" w:type="dxa"/>
              <w:start w:w="80" w:type="dxa"/>
              <w:bottom w:w="80" w:type="dxa"/>
              <w:end w:w="80" w:type="dxa"/>
              <w:top w:w="80" w:type="dxa"/>
              <w:left w:w="80" w:type="dxa"/>
              <w:bottom w:w="80" w:type="dxa"/>
              <w:right w:w="80" w:type="dxa"/>
            </w:tcMar>
          </w:tcPr>
          <w:p>
            <w:pPr>
              <w:spacing w:after="0" w:line="240" w:lineRule="auto"/>
            </w:pPr>
            <w:r>
              <w:rPr>
                <w:sz w:val="17"/>
              </w:rPr>
              <w:t>Which semantics must remain observable across different implementation technologies for governance decisions to remain auditable and interoperable?</w:t>
            </w:r>
          </w:p>
        </w:tc>
      </w:tr>
      <w:tr>
        <w:trPr>
          <w:cantSplit/>
        </w:trPr>
        <w:tc>
          <w:tcPr>
            <w:tcW w:type="dxa" w:w="1247"/>
            <w:vAlign w:val="top"/>
            <w:tcMar>
              <w:top w:w="80" w:type="dxa"/>
              <w:start w:w="80" w:type="dxa"/>
              <w:bottom w:w="80" w:type="dxa"/>
              <w:end w:w="80" w:type="dxa"/>
              <w:top w:w="80" w:type="dxa"/>
              <w:left w:w="80" w:type="dxa"/>
              <w:bottom w:w="80" w:type="dxa"/>
              <w:right w:w="80" w:type="dxa"/>
            </w:tcMar>
          </w:tcPr>
          <w:p>
            <w:pPr>
              <w:spacing w:after="0" w:line="240" w:lineRule="auto"/>
            </w:pPr>
            <w:r>
              <w:rPr>
                <w:sz w:val="17"/>
              </w:rPr>
              <w:t>RQ5</w:t>
            </w:r>
          </w:p>
        </w:tc>
        <w:tc>
          <w:tcPr>
            <w:tcW w:type="dxa" w:w="7824"/>
            <w:vAlign w:val="top"/>
            <w:tcMar>
              <w:top w:w="80" w:type="dxa"/>
              <w:start w:w="80" w:type="dxa"/>
              <w:bottom w:w="80" w:type="dxa"/>
              <w:end w:w="80" w:type="dxa"/>
              <w:top w:w="80" w:type="dxa"/>
              <w:left w:w="80" w:type="dxa"/>
              <w:bottom w:w="80" w:type="dxa"/>
              <w:right w:w="80" w:type="dxa"/>
            </w:tcMar>
          </w:tcPr>
          <w:p>
            <w:r>
              <w:t>To what extent can the proposed semantics be expressed unambiguously and evaluated through executable conformance tests across implementations?</w:t>
            </w:r>
          </w:p>
        </w:tc>
      </w:tr>
    </w:tbl>
    <w:p>
      <w:pPr>
        <w:spacing w:after="20"/>
      </w:pPr>
      <w:r/>
    </w:p>
    <w:p>
      <w:r/>
    </w:p>
    <w:p>
      <w:pPr>
        <w:pStyle w:val="Heading1"/>
      </w:pPr>
      <w:r>
        <w:t>3. Research Method and Artifact Development</w:t>
      </w:r>
    </w:p>
    <w:p>
      <w:r/>
    </w:p>
    <w:p>
      <w:pPr/>
      <w:r>
        <w:t>This work is framed as design-science research. It does not report a systematic review, a controlled experiment, or an empirical case-study corpus. The artifact-development cycle was: problem identification; targeted narrative synthesis of governance, authorization, provenance, production-ML, human-factors, and agent-security literature; formulation of failure classes; derivation of design requirements; semantic artifact design; implementation of a reference runtime; conformance evaluation; and adversarial refinement. The review was purposive rather than exhaustive: sources were selected for direct relevance to the boundaries represented by the artifact. This choice supports conceptual synthesis but does not justify bibliometric completeness claims.</w:t>
      </w:r>
    </w:p>
    <w:p>
      <w:r/>
    </w:p>
    <w:p>
      <w:pPr>
        <w:pStyle w:val="Heading2"/>
      </w:pPr>
      <w:r>
        <w:t>3.1 Evidence classification</w:t>
      </w:r>
    </w:p>
    <w:p>
      <w:r/>
    </w:p>
    <w:p>
      <w:pPr/>
      <w:r>
        <w:t>Evidence is separated by role to avoid treating motivating material, constructed fixtures, and producer-authored conformance results as interchangeable forms of validation.</w:t>
      </w:r>
    </w:p>
    <w:tbl>
      <w:tblPr>
        <w:tblStyle w:val="TableGrid"/>
        <w:tblW w:type="auto" w:w="0"/>
        <w:tblLook w:firstColumn="1" w:firstRow="1" w:lastColumn="0" w:lastRow="0" w:noHBand="0" w:noVBand="1" w:val="04A0"/>
      </w:tblPr>
      <w:tblGrid>
        <w:gridCol w:w="3156"/>
        <w:gridCol w:w="3156"/>
        <w:gridCol w:w="3156"/>
      </w:tblGrid>
      <w:tr>
        <w:trPr>
          <w:tblHeader w:val="true"/>
          <w:tblHeader w:val="true"/>
        </w:trPr>
        <w:tc>
          <w:tcPr>
            <w:tcW w:type="dxa" w:w="3156"/>
            <w:tcMar>
              <w:top w:w="80" w:type="dxa"/>
              <w:left w:w="80" w:type="dxa"/>
              <w:bottom w:w="80" w:type="dxa"/>
              <w:right w:w="80" w:type="dxa"/>
            </w:tcMar>
          </w:tcPr>
          <w:p>
            <w:r>
              <w:rPr>
                <w:b/>
              </w:rPr>
              <w:t>Evidence type</w:t>
            </w:r>
          </w:p>
        </w:tc>
        <w:tc>
          <w:tcPr>
            <w:tcW w:type="dxa" w:w="3156"/>
            <w:tcMar>
              <w:top w:w="80" w:type="dxa"/>
              <w:left w:w="80" w:type="dxa"/>
              <w:bottom w:w="80" w:type="dxa"/>
              <w:right w:w="80" w:type="dxa"/>
            </w:tcMar>
          </w:tcPr>
          <w:p>
            <w:r>
              <w:rPr>
                <w:b/>
              </w:rPr>
              <w:t>Role in this paper</w:t>
            </w:r>
          </w:p>
        </w:tc>
        <w:tc>
          <w:tcPr>
            <w:tcW w:type="dxa" w:w="3156"/>
            <w:tcMar>
              <w:top w:w="80" w:type="dxa"/>
              <w:left w:w="80" w:type="dxa"/>
              <w:bottom w:w="80" w:type="dxa"/>
              <w:right w:w="80" w:type="dxa"/>
            </w:tcMar>
          </w:tcPr>
          <w:p>
            <w:r>
              <w:rPr>
                <w:b/>
              </w:rPr>
              <w:t>Claim not supported</w:t>
            </w:r>
          </w:p>
        </w:tc>
      </w:tr>
      <w:tr>
        <w:tc>
          <w:tcPr>
            <w:tcW w:type="dxa" w:w="3156"/>
            <w:tcMar>
              <w:top w:w="80" w:type="dxa"/>
              <w:left w:w="80" w:type="dxa"/>
              <w:bottom w:w="80" w:type="dxa"/>
              <w:right w:w="80" w:type="dxa"/>
            </w:tcMar>
          </w:tcPr>
          <w:p>
            <w:r>
              <w:t>Prior literature</w:t>
            </w:r>
          </w:p>
        </w:tc>
        <w:tc>
          <w:tcPr>
            <w:tcW w:type="dxa" w:w="3156"/>
            <w:tcMar>
              <w:top w:w="80" w:type="dxa"/>
              <w:left w:w="80" w:type="dxa"/>
              <w:bottom w:w="80" w:type="dxa"/>
              <w:right w:w="80" w:type="dxa"/>
            </w:tcMar>
          </w:tcPr>
          <w:p>
            <w:r>
              <w:t>Establishes known governance and system-design problems</w:t>
            </w:r>
          </w:p>
        </w:tc>
        <w:tc>
          <w:tcPr>
            <w:tcW w:type="dxa" w:w="3156"/>
            <w:tcMar>
              <w:top w:w="80" w:type="dxa"/>
              <w:left w:w="80" w:type="dxa"/>
              <w:bottom w:w="80" w:type="dxa"/>
              <w:right w:w="80" w:type="dxa"/>
            </w:tcMar>
          </w:tcPr>
          <w:p>
            <w:r>
              <w:t>That ADGL is uniquely necessary</w:t>
            </w:r>
          </w:p>
        </w:tc>
      </w:tr>
      <w:tr>
        <w:tc>
          <w:tcPr>
            <w:tcW w:type="dxa" w:w="3156"/>
            <w:tcMar>
              <w:top w:w="80" w:type="dxa"/>
              <w:left w:w="80" w:type="dxa"/>
              <w:bottom w:w="80" w:type="dxa"/>
              <w:right w:w="80" w:type="dxa"/>
            </w:tcMar>
          </w:tcPr>
          <w:p>
            <w:r>
              <w:t>Standards and regulation</w:t>
            </w:r>
          </w:p>
        </w:tc>
        <w:tc>
          <w:tcPr>
            <w:tcW w:type="dxa" w:w="3156"/>
            <w:tcMar>
              <w:top w:w="80" w:type="dxa"/>
              <w:left w:w="80" w:type="dxa"/>
              <w:bottom w:w="80" w:type="dxa"/>
              <w:right w:w="80" w:type="dxa"/>
            </w:tcMar>
          </w:tcPr>
          <w:p>
            <w:r>
              <w:t>Establishes interoperability and control requirements</w:t>
            </w:r>
          </w:p>
        </w:tc>
        <w:tc>
          <w:tcPr>
            <w:tcW w:type="dxa" w:w="3156"/>
            <w:tcMar>
              <w:top w:w="80" w:type="dxa"/>
              <w:left w:w="80" w:type="dxa"/>
              <w:bottom w:w="80" w:type="dxa"/>
              <w:right w:w="80" w:type="dxa"/>
            </w:tcMar>
          </w:tcPr>
          <w:p>
            <w:r>
              <w:t>Formal endorsement of ADGL</w:t>
            </w:r>
          </w:p>
        </w:tc>
      </w:tr>
      <w:tr>
        <w:tc>
          <w:tcPr>
            <w:tcW w:type="dxa" w:w="3156"/>
            <w:tcMar>
              <w:top w:w="80" w:type="dxa"/>
              <w:left w:w="80" w:type="dxa"/>
              <w:bottom w:w="80" w:type="dxa"/>
              <w:right w:w="80" w:type="dxa"/>
            </w:tcMar>
          </w:tcPr>
          <w:p>
            <w:r>
              <w:t>Public incidents</w:t>
            </w:r>
          </w:p>
        </w:tc>
        <w:tc>
          <w:tcPr>
            <w:tcW w:type="dxa" w:w="3156"/>
            <w:tcMar>
              <w:top w:w="80" w:type="dxa"/>
              <w:left w:w="80" w:type="dxa"/>
              <w:bottom w:w="80" w:type="dxa"/>
              <w:right w:w="80" w:type="dxa"/>
            </w:tcMar>
          </w:tcPr>
          <w:p>
            <w:r>
              <w:t>Motivating illustration only</w:t>
            </w:r>
          </w:p>
        </w:tc>
        <w:tc>
          <w:tcPr>
            <w:tcW w:type="dxa" w:w="3156"/>
            <w:tcMar>
              <w:top w:w="80" w:type="dxa"/>
              <w:left w:w="80" w:type="dxa"/>
              <w:bottom w:w="80" w:type="dxa"/>
              <w:right w:w="80" w:type="dxa"/>
            </w:tcMar>
          </w:tcPr>
          <w:p>
            <w:r>
              <w:t>Causal or representative empirical validation</w:t>
            </w:r>
          </w:p>
        </w:tc>
      </w:tr>
      <w:tr>
        <w:tc>
          <w:tcPr>
            <w:tcW w:type="dxa" w:w="3156"/>
            <w:tcMar>
              <w:top w:w="80" w:type="dxa"/>
              <w:left w:w="80" w:type="dxa"/>
              <w:bottom w:w="80" w:type="dxa"/>
              <w:right w:w="80" w:type="dxa"/>
            </w:tcMar>
          </w:tcPr>
          <w:p>
            <w:r>
              <w:t>Constructed reference scenarios</w:t>
            </w:r>
          </w:p>
        </w:tc>
        <w:tc>
          <w:tcPr>
            <w:tcW w:type="dxa" w:w="3156"/>
            <w:tcMar>
              <w:top w:w="80" w:type="dxa"/>
              <w:left w:w="80" w:type="dxa"/>
              <w:bottom w:w="80" w:type="dxa"/>
              <w:right w:w="80" w:type="dxa"/>
            </w:tcMar>
          </w:tcPr>
          <w:p>
            <w:r>
              <w:t>Tests architecture behavior against declared expectations</w:t>
            </w:r>
          </w:p>
        </w:tc>
        <w:tc>
          <w:tcPr>
            <w:tcW w:type="dxa" w:w="3156"/>
            <w:tcMar>
              <w:top w:w="80" w:type="dxa"/>
              <w:left w:w="80" w:type="dxa"/>
              <w:bottom w:w="80" w:type="dxa"/>
              <w:right w:w="80" w:type="dxa"/>
            </w:tcMar>
          </w:tcPr>
          <w:p>
            <w:r>
              <w:t>Observed organizational prevalence</w:t>
            </w:r>
          </w:p>
        </w:tc>
      </w:tr>
      <w:tr>
        <w:tc>
          <w:tcPr>
            <w:tcW w:type="dxa" w:w="3156"/>
            <w:tcMar>
              <w:top w:w="80" w:type="dxa"/>
              <w:left w:w="80" w:type="dxa"/>
              <w:bottom w:w="80" w:type="dxa"/>
              <w:right w:w="80" w:type="dxa"/>
            </w:tcMar>
          </w:tcPr>
          <w:p>
            <w:r>
              <w:t>Reference implementation</w:t>
            </w:r>
          </w:p>
        </w:tc>
        <w:tc>
          <w:tcPr>
            <w:tcW w:type="dxa" w:w="3156"/>
            <w:tcMar>
              <w:top w:w="80" w:type="dxa"/>
              <w:left w:w="80" w:type="dxa"/>
              <w:bottom w:w="80" w:type="dxa"/>
              <w:right w:w="80" w:type="dxa"/>
            </w:tcMar>
          </w:tcPr>
          <w:p>
            <w:r>
              <w:t>Shows that the declared semantic subset is executable</w:t>
            </w:r>
          </w:p>
        </w:tc>
        <w:tc>
          <w:tcPr>
            <w:tcW w:type="dxa" w:w="3156"/>
            <w:tcMar>
              <w:top w:w="80" w:type="dxa"/>
              <w:left w:w="80" w:type="dxa"/>
              <w:bottom w:w="80" w:type="dxa"/>
              <w:right w:w="80" w:type="dxa"/>
            </w:tcMar>
          </w:tcPr>
          <w:p>
            <w:r>
              <w:t>Production effectiveness or independence</w:t>
            </w:r>
          </w:p>
        </w:tc>
      </w:tr>
      <w:tr>
        <w:tc>
          <w:tcPr>
            <w:tcW w:type="dxa" w:w="3156"/>
            <w:tcMar>
              <w:top w:w="80" w:type="dxa"/>
              <w:left w:w="80" w:type="dxa"/>
              <w:bottom w:w="80" w:type="dxa"/>
              <w:right w:w="80" w:type="dxa"/>
            </w:tcMar>
          </w:tcPr>
          <w:p>
            <w:r>
              <w:t>Conformance suite</w:t>
            </w:r>
          </w:p>
        </w:tc>
        <w:tc>
          <w:tcPr>
            <w:tcW w:type="dxa" w:w="3156"/>
            <w:tcMar>
              <w:top w:w="80" w:type="dxa"/>
              <w:left w:w="80" w:type="dxa"/>
              <w:bottom w:w="80" w:type="dxa"/>
              <w:right w:w="80" w:type="dxa"/>
            </w:tcMar>
          </w:tcPr>
          <w:p>
            <w:r>
              <w:t>Checks consistency between specification, fixtures, and implementation</w:t>
            </w:r>
          </w:p>
        </w:tc>
        <w:tc>
          <w:tcPr>
            <w:tcW w:type="dxa" w:w="3156"/>
            <w:tcMar>
              <w:top w:w="80" w:type="dxa"/>
              <w:left w:w="80" w:type="dxa"/>
              <w:bottom w:w="80" w:type="dxa"/>
              <w:right w:w="80" w:type="dxa"/>
            </w:tcMar>
          </w:tcPr>
          <w:p>
            <w:r>
              <w:t>Cross-implementation interoperability</w:t>
            </w:r>
          </w:p>
        </w:tc>
      </w:tr>
      <w:tr>
        <w:tc>
          <w:tcPr>
            <w:tcW w:type="dxa" w:w="3156"/>
            <w:tcMar>
              <w:top w:w="80" w:type="dxa"/>
              <w:left w:w="80" w:type="dxa"/>
              <w:bottom w:w="80" w:type="dxa"/>
              <w:right w:w="80" w:type="dxa"/>
            </w:tcMar>
          </w:tcPr>
          <w:p>
            <w:r>
              <w:t>Microbenchmarks</w:t>
            </w:r>
          </w:p>
        </w:tc>
        <w:tc>
          <w:tcPr>
            <w:tcW w:type="dxa" w:w="3156"/>
            <w:tcMar>
              <w:top w:w="80" w:type="dxa"/>
              <w:left w:w="80" w:type="dxa"/>
              <w:bottom w:w="80" w:type="dxa"/>
              <w:right w:w="80" w:type="dxa"/>
            </w:tcMar>
          </w:tcPr>
          <w:p>
            <w:r>
              <w:t>Characterizes one evaluator under stated conditions</w:t>
            </w:r>
          </w:p>
        </w:tc>
        <w:tc>
          <w:tcPr>
            <w:tcW w:type="dxa" w:w="3156"/>
            <w:tcMar>
              <w:top w:w="80" w:type="dxa"/>
              <w:left w:w="80" w:type="dxa"/>
              <w:bottom w:w="80" w:type="dxa"/>
              <w:right w:w="80" w:type="dxa"/>
            </w:tcMar>
          </w:tcPr>
          <w:p>
            <w:r>
              <w:t>Comparative or production performance</w:t>
            </w:r>
          </w:p>
        </w:tc>
      </w:tr>
    </w:tbl>
    <w:p>
      <w:r/>
    </w:p>
    <w:p>
      <w:pPr>
        <w:pStyle w:val="Heading2"/>
      </w:pPr>
      <w:r>
        <w:t>3.2 Requirement and artifact-development procedure</w:t>
      </w:r>
    </w:p>
    <w:p>
      <w:r/>
    </w:p>
    <w:p>
      <w:pPr/>
      <w:r>
        <w:t>The failure classes and requirements were formulated iteratively by GBSN Research while developing the ADGL specification and related implementation. They were not independently elicited or coded by multiple researchers. Requirements R1-R12 therefore function as transparent design commitments and evaluation targets, not as independently discovered empirical findings. Candidate requirements found during implementation hardening remain explicitly non-normative until reviewed and incorporated through the specification process. Evidence that would motivate revision includes ambiguous independent implementations, counterexamples that violate stage separation, mappings showing no useful semantic difference from established mechanisms, or stakeholder findings that the proposed vocabulary is not usable.</w:t>
      </w:r>
    </w:p>
    <w:p>
      <w:r/>
    </w:p>
    <w:p>
      <w:pPr>
        <w:pStyle w:val="Heading2"/>
      </w:pPr>
      <w:r>
        <w:t>3.3 Traceability and validation scope</w:t>
      </w:r>
    </w:p>
    <w:p>
      <w:r/>
    </w:p>
    <w:p>
      <w:pPr/>
      <w:r>
        <w:t>Appendices A-D provide the operational trace from semantic objects and stage behavior to reference cases, expected states, conformance checks, and implementation results. This traceability demonstrates internal consistency for the declared subset. Because GBSN Research created the specification, scenarios, tests, and reference implementation—and has a commercial interest in ADGL—the evaluation is producer-side validation. Independent replication and stakeholder evaluation remain required before claims of practical effectiveness, interoperability, or standards readiness can be sustained.</w:t>
      </w:r>
    </w:p>
    <w:p>
      <w:pPr>
        <w:pStyle w:val="Heading2"/>
      </w:pPr>
      <w:r>
        <w:t>3.4 Artifact evaluation environments</w:t>
      </w:r>
    </w:p>
    <w:p>
      <w:pPr/>
      <w:r>
        <w:t>The artifact was evaluated in two producer-authored implementation environments with different purposes. The openly licensed Python Reference Toolkit is a minimal semantic interpreter, schema set, fixture collection, and conformance runner. KEE (Knowledge Execution Engine) is a separate, unpublished proprietary commercial MVP developed by GBSN Research. KEE vendors the paper-evaluated Reference Toolkit 0.5.0 baseline implementing Specification 0.3.0 and adds production-oriented orchestration around model calls, result release, trust registries, action authorization, quota accounting, and audit integrity. KEE is not an independent implementation and is not required to implement ADGL. Its source and tests were available to the authors for this study but are not part of the public reproducibility package.</w:t>
      </w:r>
    </w:p>
    <w:p>
      <w:pPr/>
      <w:r>
        <w:t>Four internal adversarial implementation-review cycles were used as formative design-science evaluation. Findings were reproduced as executable failures before correction. KEE-specific corrections were kept distinct from the normative open specification. Where a finding indicated an underspecified portable semantic boundary, it informed candidate execution-integrity checks C26-C36 in Toolkit 0.5.3. This process supplies producer-side artifact evidence and negative cases; it does not establish independent effectiveness, security certification, or cross-vendor interoperability.</w:t>
      </w:r>
    </w:p>
    <w:p>
      <w:pPr>
        <w:pStyle w:val="Heading2"/>
      </w:pPr>
      <w:r>
        <w:t>3.5 Public reproducibility surfaces</w:t>
      </w:r>
    </w:p>
    <w:p>
      <w:pPr/>
      <w:r>
        <w:t>The public materials are distributed through separate research and executable packages for Zenodo/OSF, a GitHub-ready repository containing specification sources, schemas, cases, tests, documentation, and continuous-integration configuration, and Hugging Face dataset and Space artifacts for interactive execution of the eight constructed reference cases. The release-validation record reports successful execution of all eight cases in the Space. The exact repository, DOI, dataset, and Space identifiers must be recorded in the camera-ready artifact-availability statement. Public execution demonstrates availability and reproducibility of the declared cases; it is not field validation.</w:t>
      </w:r>
    </w:p>
    <w:p>
      <w:pPr>
        <w:pStyle w:val="Heading1"/>
        <w:keepNext/>
        <w:spacing w:before="240" w:after="80"/>
      </w:pPr>
      <w:r>
        <w:t>4. Conceptual Foundations and Related Work</w:t>
      </w:r>
    </w:p>
    <w:p>
      <w:pPr>
        <w:pStyle w:val="Heading2"/>
        <w:keepNext/>
        <w:spacing w:before="160" w:after="80"/>
      </w:pPr>
      <w:r>
        <w:t>4.1 Data governance, documentation, and information influence</w:t>
      </w:r>
    </w:p>
    <w:p>
      <w:pPr>
        <w:spacing w:after="100" w:line="269" w:lineRule="auto"/>
        <w:ind w:firstLine="312"/>
      </w:pPr>
      <w:r>
        <w:t>ADGL's Knowledge Governance builds on a broad lineage rather than claiming that post-access control is new. Information-flow control frameworks such as SIF explicitly distinguish confidentiality and integrity policies from initial access and track how information propagates through applications [11]. UCON similarly generalizes access control to include obligations, conditions, continuity, and mutability before, during, and after usage [8]. These traditions establish that control may need to persist after a principal has crossed an access boundary.</w:t>
      </w:r>
    </w:p>
    <w:p>
      <w:pPr>
        <w:spacing w:after="100" w:line="269" w:lineRule="auto"/>
        <w:ind w:firstLine="312"/>
      </w:pPr>
      <w:r>
        <w:t>Dataset documentation research adds an orthogonal concern: the meaning and suitability of data depend on its provenance, composition, collection context, population, intended uses, and limitations. Bender and Friedman propose data statements to make population and linguistic context explicit [12]. Gebru et al. propose datasheets to standardize documentation of dataset motivation, composition, collection, and recommended uses [18]. Sambasivan et al. provide empirical evidence that neglected data work can create delayed, compounding downstream failures in high-stakes AI [15]. ADGL treats such metadata as policy inputs, while adding a runtime question: given the current Case, may this object influence this analysis, and in what evidentiary role?</w:t>
      </w:r>
    </w:p>
    <w:p>
      <w:pPr>
        <w:pStyle w:val="Heading2"/>
        <w:keepNext/>
        <w:spacing w:before="160" w:after="80"/>
      </w:pPr>
      <w:r>
        <w:t>4.2 Authorization, usage control, and rights expression</w:t>
      </w:r>
    </w:p>
    <w:p>
      <w:pPr>
        <w:spacing w:after="100" w:line="269" w:lineRule="auto"/>
        <w:ind w:firstLine="312"/>
      </w:pPr>
      <w:r>
        <w:t>XACML defines an authorization policy language and processing model with combining algorithms and obligations/advice [5]. OPA separates policy decision-making from enforcement and evaluates declarative Rego policies over structured inputs [6]. Cedar represents authorization in principal-action-resource-context terms and is designed for fine-grained application permissions [7]. ODRL provides an extensible information model for permissions, prohibitions, duties, and constraints over assets [9]. These systems are highly relevant implementation substrates. ADGL does not claim that they cannot express equivalent conditions. Its proposed specialization is a shared AI/analytical vocabulary for evidence role, authority, applicability, analytical method, validation, consequence disposition, decision ownership, action capability, and stage-qualified audit.</w:t>
      </w:r>
    </w:p>
    <w:p>
      <w:pPr>
        <w:pStyle w:val="Heading2"/>
        <w:keepNext/>
        <w:spacing w:before="160" w:after="80"/>
      </w:pPr>
      <w:r>
        <w:t>4.3 Provenance and retrieval</w:t>
      </w:r>
    </w:p>
    <w:p>
      <w:pPr>
        <w:spacing w:after="100" w:line="269" w:lineRule="auto"/>
        <w:ind w:firstLine="312"/>
      </w:pPr>
      <w:r>
        <w:t>W3C PROV provides a domain-independent model for entities, activities, agents, generation, use, derivation, and attribution [10]. ADGL uses provenance as a cross-cutting dependency rather than a substitute for policy: provenance can establish where an object came from and how it was derived, while policy determines what that provenance means for admissibility, restriction propagation, or consequence. Retrieval-augmented methods such as REALM and RAG make non-parametric knowledge operational inside model inference [13], [14]. That capability strengthens the case for separating retrieval from admission because the retrieved set is a technical candidate set, not a governance decision.</w:t>
      </w:r>
    </w:p>
    <w:p>
      <w:pPr>
        <w:pStyle w:val="Heading2"/>
        <w:keepNext/>
        <w:spacing w:before="160" w:after="80"/>
      </w:pPr>
      <w:r>
        <w:t>4.4 Production ML engineering and accountability</w:t>
      </w:r>
    </w:p>
    <w:p>
      <w:pPr>
        <w:spacing w:after="100" w:line="269" w:lineRule="auto"/>
        <w:ind w:firstLine="312"/>
      </w:pPr>
      <w:r>
        <w:t>Production ML research repeatedly shows that model-centric evaluation is insufficient for system reliability. Sculley et al. identify hidden data dependencies, feedback loops, boundary erosion, and undeclared consumers as forms of technical debt [16]. Breck et al. propose testing and monitoring requirements for production readiness [17]. Amershi et al. report that production AI development involves difficult data discovery, management, versioning, model entanglement, and process changes across software teams [29]. These findings motivate governance at the level of execution conditions rather than only model artifacts.</w:t>
      </w:r>
    </w:p>
    <w:p>
      <w:pPr>
        <w:spacing w:after="100" w:line="269" w:lineRule="auto"/>
        <w:ind w:firstLine="312"/>
      </w:pPr>
      <w:r>
        <w:t>Algorithmic-auditing research adds an accountability dimension. Raji et al. argue for end-to-end internal audit processes that preserve decisions and evidence throughout the development lifecycle [30]. Ojewale et al., based on practitioner interviews and a landscape analysis of audit tools, report gaps between evaluation tooling and the broader infrastructure needed for accountability [31]. ADGL's Audit and Provenance plane is aligned with this lifecycle perspective, but focuses on recording the runtime governance trajectory of individual cases and policy decisions.</w:t>
      </w:r>
    </w:p>
    <w:p>
      <w:pPr>
        <w:pStyle w:val="Heading2"/>
        <w:keepNext/>
        <w:spacing w:before="160" w:after="80"/>
      </w:pPr>
      <w:r>
        <w:t>4.5 Human-automation interaction and decision authority</w:t>
      </w:r>
    </w:p>
    <w:p>
      <w:pPr>
        <w:spacing w:after="100" w:line="269" w:lineRule="auto"/>
        <w:ind w:firstLine="312"/>
      </w:pPr>
      <w:r>
        <w:t>The distinction between analysis and consequence is strongly supported by human-factors literature. Parasuraman, Sheridan, and Wickens separate automation of information acquisition, information analysis, decision/action selection, and action implementation, and describe levels at which the human retains, shares, or relinquishes authority [20]. Bainbridge's 'ironies of automation' shows that removing routine human control can leave people with difficult monitoring and takeover roles precisely when abnormal conditions occur [21]. Endsley and Kiris experimentally demonstrate out-of-the-loop performance and situation-awareness losses under higher automation [22].</w:t>
      </w:r>
    </w:p>
    <w:p>
      <w:pPr>
        <w:spacing w:after="100" w:line="269" w:lineRule="auto"/>
        <w:ind w:firstLine="312"/>
      </w:pPr>
      <w:r>
        <w:t>ADGL's INFORM, DECIDE, and ACT dispositions are not a restatement of a single historical automation scale, but they are consistent with the underlying insight that producing information, selecting a consequential decision, and implementing that decision are distinct authority boundaries. The architecture further separates human validation inside Analysis Governance from human decision ownership inside Consequence Governance. A reviewer who validates whether a classification is analytically sound is performing a different institutional function from an officer who owns the legal, financial, clinical, or operational decision that follows.</w:t>
      </w:r>
    </w:p>
    <w:p>
      <w:pPr>
        <w:pStyle w:val="Heading2"/>
        <w:keepNext/>
        <w:spacing w:before="160" w:after="80"/>
      </w:pPr>
      <w:r>
        <w:t>4.6 Agentic systems, tool use, and prompt injection</w:t>
      </w:r>
    </w:p>
    <w:p>
      <w:pPr>
        <w:spacing w:after="100" w:line="269" w:lineRule="auto"/>
        <w:ind w:firstLine="312"/>
      </w:pPr>
      <w:r>
        <w:t>Recent LLM systems increasingly interleave reasoning with external actions. ReAct demonstrates the utility of coupling reasoning traces with actions that query external environments [24]. MCP standardizes interfaces through which LLM applications can access resources and invoke tools, and its authorization specification focuses on transport-level authorization using established OAuth mechanisms [25]. NIST's 2026 AI Agent Standards Initiative and NCCoE work on agent identity and authorization identify secure agent interoperability, authentication, authorization, and prompt-injection mitigation as active standardization problems [26], [27].</w:t>
      </w:r>
    </w:p>
    <w:p>
      <w:pPr>
        <w:spacing w:after="100" w:line="269" w:lineRule="auto"/>
        <w:ind w:firstLine="312"/>
      </w:pPr>
      <w:r>
        <w:t>At the same time, Greshake et al. demonstrate indirect prompt injection: malicious instructions can be placed in external content that is later retrieved and processed by an application-integrated LLM, allowing data to influence system instructions and potentially API behavior [23]. This attack class collapses the intuitive boundary between 'content to analyze' and 'instructions to execute.' ADGL does not by itself solve prompt injection, but its separation of Knowledge, Analysis, and Consequence provides places where implementations can attach controls: source integrity and isolation at admission, method/tool constraints during analysis, and explicit action authorization before side effects.</w:t>
      </w:r>
    </w:p>
    <w:p>
      <w:pPr>
        <w:pStyle w:val="Heading2"/>
        <w:keepNext/>
        <w:spacing w:before="160" w:after="80"/>
      </w:pPr>
      <w:r>
        <w:t>4.7 Organizational and regulatory governance</w:t>
      </w:r>
    </w:p>
    <w:p>
      <w:pPr>
        <w:spacing w:after="100" w:line="269" w:lineRule="auto"/>
        <w:ind w:firstLine="312"/>
      </w:pPr>
      <w:r>
        <w:t>NIST AI RMF organizes risk-management practice around GOVERN, MAP, MEASURE, and MANAGE and treats trustworthy AI as a lifecycle concern [1]. The Generative AI Profile adds risks and actions specific to generative systems, including governance, content provenance, testing, and incident disclosure [2]. ISO/IEC 42001 specifies requirements for an organizational AI management system [3]. The EU AI Act establishes legal requirements for defined systems and use contexts, including data governance, documentation, logging, risk management, transparency, and human oversight [4]. These mechanisms define organizational or legal outcomes rather than a single execution grammar; ADGL is positioned as a possible technical layer for implementing and evidencing selected controls without claiming that its use establishes compliance.</w:t>
      </w:r>
    </w:p>
    <w:p>
      <w:pPr>
        <w:pStyle w:val="Heading2"/>
        <w:keepNext/>
        <w:spacing w:before="160" w:after="80"/>
      </w:pPr>
      <w:r>
        <w:t>4.8 Closely related runtime-governance proposals</w:t>
      </w:r>
    </w:p>
    <w:p>
      <w:pPr>
        <w:spacing w:after="100" w:line="269" w:lineRule="auto"/>
        <w:ind w:firstLine="312"/>
      </w:pPr>
      <w:r>
        <w:t>Emerging work is moving rapidly toward machine-readable runtime governance, particularly for autonomous agents. Policy Cards propose deployment-layer policy artifacts containing allowed or denied actions, obligations, evidentiary requirements, escalation, and audit hooks [28]. AgentSpec provides a domain-specific language for runtime constraints over LLM-agent behavior [34]. Kaptein, Khan, and Podstavnychy model runtime governance over partial agent execution paths, emphasizing that static access control cannot capture path-dependent policy [35]. Safety Sidecar adds a model-agnostic runtime controller with external verification gates before action release and memory updates [36]. Zwerdling et al. compile company-policy documents into deterministic guards associated with tool use in agentic workflows [37]. Together, these systems are close prior work and substantially narrow any novelty claim based merely on 'runtime governance.'</w:t>
      </w:r>
    </w:p>
    <w:p>
      <w:pPr>
        <w:spacing w:after="100" w:line="269" w:lineRule="auto"/>
        <w:ind w:firstLine="312"/>
      </w:pPr>
      <w:r>
        <w:t>The distinction proposed by ADGL is therefore one of scope and semantic decomposition rather than the invention of runtime enforcement. ADGL treats agentic execution as one ACT consequence among three outcomes, places Knowledge Governance and Analysis Governance upstream of action control, and defines a Case-scoped semantic chain intended to apply equally to informational systems, human-decision workflows, and machine actions. The emerging agent-governance literature is strongest around paths, tool calls, action guards, and intervention. ADGL asks the complementary question of how those controls connect to evidence admissibility, analytical permission, decision ownership, and provenance before and after an action. Interoperability with agent-focused runtime proposals should be preferred over unnecessary duplication.</w:t>
      </w:r>
    </w:p>
    <w:p>
      <w:pPr>
        <w:pStyle w:val="Heading1"/>
        <w:keepNext/>
        <w:spacing w:before="240" w:after="80"/>
      </w:pPr>
      <w:r>
        <w:t>5. Governance Failure Classes and Motivating Scenarios</w:t>
      </w:r>
    </w:p>
    <w:p>
      <w:pPr>
        <w:spacing w:after="100" w:line="269" w:lineRule="auto"/>
        <w:ind w:firstLine="312"/>
      </w:pPr>
      <w:r>
        <w:t>The architecture was not derived from a single incident or an empirical case-study corpus. GBSN Research formulated these failure classes through a targeted literature synthesis and iterative artifact development. The eight executable cases in Appendix C are internally constructed reference scenarios designed to expose semantic boundaries; they are not observations of prevalence or independently sampled organizational practice. The following classes summarize the design pressure behind the three-stage separation.</w:t>
      </w:r>
    </w:p>
    <w:tbl>
      <w:tblPr>
        <w:tblStyle w:val="TableGrid"/>
        <w:tblW w:type="auto" w:w="0"/>
        <w:jc w:val="center"/>
        <w:tblLook w:firstColumn="1" w:firstRow="1" w:lastColumn="0" w:lastRow="0" w:noHBand="0" w:noVBand="1" w:val="04A0"/>
      </w:tblPr>
      <w:tblGrid>
        <w:gridCol w:w="3156"/>
        <w:gridCol w:w="3156"/>
        <w:gridCol w:w="3156"/>
      </w:tblGrid>
      <w:tr>
        <w:trPr>
          <w:tblHeader w:val="true"/>
          <w:tblHeader w:val="true"/>
          <w:tblHeader w:val="true"/>
        </w:trPr>
        <w:tc>
          <w:tcPr>
            <w:tcW w:type="dxa" w:w="2041"/>
            <w:shd w:fill="E7E6E6"/>
            <w:vAlign w:val="center"/>
            <w:tcMar>
              <w:top w:w="80" w:type="dxa"/>
              <w:start w:w="80" w:type="dxa"/>
              <w:bottom w:w="80" w:type="dxa"/>
              <w:end w:w="80" w:type="dxa"/>
              <w:top w:w="80" w:type="dxa"/>
              <w:left w:w="80" w:type="dxa"/>
              <w:bottom w:w="80" w:type="dxa"/>
              <w:right w:w="80" w:type="dxa"/>
            </w:tcMar>
          </w:tcPr>
          <w:p>
            <w:pPr>
              <w:spacing w:after="0"/>
            </w:pPr>
            <w:r>
              <w:rPr>
                <w:b/>
                <w:sz w:val="15"/>
              </w:rPr>
              <w:t>Failure mode</w:t>
            </w:r>
          </w:p>
        </w:tc>
        <w:tc>
          <w:tcPr>
            <w:tcW w:type="dxa" w:w="4082"/>
            <w:shd w:fill="E7E6E6"/>
            <w:vAlign w:val="center"/>
            <w:tcMar>
              <w:top w:w="80" w:type="dxa"/>
              <w:start w:w="80" w:type="dxa"/>
              <w:bottom w:w="80" w:type="dxa"/>
              <w:end w:w="80" w:type="dxa"/>
              <w:top w:w="80" w:type="dxa"/>
              <w:left w:w="80" w:type="dxa"/>
              <w:bottom w:w="80" w:type="dxa"/>
              <w:right w:w="80" w:type="dxa"/>
            </w:tcMar>
          </w:tcPr>
          <w:p>
            <w:pPr>
              <w:spacing w:after="0"/>
            </w:pPr>
            <w:r>
              <w:rPr>
                <w:b/>
                <w:sz w:val="15"/>
              </w:rPr>
              <w:t>Motivating case</w:t>
            </w:r>
          </w:p>
        </w:tc>
        <w:tc>
          <w:tcPr>
            <w:tcW w:type="dxa" w:w="3005"/>
            <w:shd w:fill="E7E6E6"/>
            <w:vAlign w:val="center"/>
            <w:tcMar>
              <w:top w:w="80" w:type="dxa"/>
              <w:start w:w="80" w:type="dxa"/>
              <w:bottom w:w="80" w:type="dxa"/>
              <w:end w:w="80" w:type="dxa"/>
              <w:top w:w="80" w:type="dxa"/>
              <w:left w:w="80" w:type="dxa"/>
              <w:bottom w:w="80" w:type="dxa"/>
              <w:right w:w="80" w:type="dxa"/>
            </w:tcMar>
          </w:tcPr>
          <w:p>
            <w:pPr>
              <w:spacing w:after="0"/>
            </w:pPr>
            <w:r>
              <w:rPr>
                <w:b/>
                <w:sz w:val="15"/>
              </w:rPr>
              <w:t>Architectural response</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F1 Accessible ≠ admissible</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 draft, superseded policy, public commentary, and governing regulator notice may all be technically accessible, but should not have equal influence in a regulatory case. Documentation and data-cascade research show why origin, status, and context matter [12], [15], [18].</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Knowledge Governance: authority, applicability, lifecycle, evidence role.</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F2 Admissible ≠ analyzable</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Restricted data may be valid evidence, while the proposed model, processing region, method, or inference pattern is not permitted. Production-ML work shows that system choices beyond the dataset affect reliability [16], [17], [29].</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Analysis Governance: method/model/tool/region eligibility.</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F3 Analysis ≠ decision authority</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 high-confidence risk score may be valid while organizational policy requires a human officer to own the consequential decision. Human-automation research distinguishes analysis from decision/action selection [20]-[22].</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Consequence Governance: DECIDE.</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F4 Decision ≠ action authorization</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 conclusion that an action should occur does not itself authorize an API, workflow, or financial side effect. Runtime agent-policy work similarly inserts guards before tool/action execution [34], [35], [37].</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Consequence Governance: ACT + bounded capability.</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F5 Data may become instructions</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Retrieved untrusted content can contain instructions that alter model/tool behavior through indirect prompt injection [23].</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Admission integrity + analysis constraints + action authorization.</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F6 Derived knowledge inherits risk</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Summaries, classifications, and action outcomes can be stored and reused, creating new governed objects whose lineage and restrictions matter [10], [15], [16].</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Audit/provenance + restriction propagation + feedback.</w:t>
            </w:r>
          </w:p>
        </w:tc>
      </w:tr>
      <w:tr>
        <w:trPr>
          <w:cantSplit/>
        </w:trPr>
        <w:tc>
          <w:tcPr>
            <w:tcW w:type="dxa" w:w="204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F7 Semantic policy ≠ physical containment</w:t>
            </w:r>
          </w:p>
        </w:tc>
        <w:tc>
          <w:tcPr>
            <w:tcW w:type="dxa" w:w="4082"/>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 policy can require local-only processing or no fallback, but actual network/sandbox containment must be enforced and observed by infrastructure; the 2026 OpenAI/Hugging Face incident is a contemporary illustration [32].</w:t>
            </w:r>
          </w:p>
        </w:tc>
        <w:tc>
          <w:tcPr>
            <w:tcW w:type="dxa" w:w="300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Explicit enforcement boundary + audit of enforcement state.</w:t>
            </w:r>
          </w:p>
        </w:tc>
      </w:tr>
    </w:tbl>
    <w:p>
      <w:pPr>
        <w:spacing w:after="20"/>
      </w:pPr>
      <w:r/>
    </w:p>
    <w:p>
      <w:pPr>
        <w:pStyle w:val="Heading2"/>
        <w:keepNext/>
        <w:spacing w:before="160" w:after="80"/>
      </w:pPr>
      <w:r>
        <w:t>5.1 A contemporary containment case</w:t>
      </w:r>
    </w:p>
    <w:p>
      <w:pPr>
        <w:spacing w:after="100" w:line="269" w:lineRule="auto"/>
        <w:ind w:firstLine="312"/>
      </w:pPr>
      <w:r>
        <w:t>A July 2026 OpenAI/Hugging Face security incident provides a contemporary illustration of F7. OpenAI reports that models in an internal cyber-capability evaluation, operating in a highly isolated environment without direct Internet access, identified and chained vulnerabilities that ultimately provided Internet access and a path into Hugging Face production infrastructure [32]. As of 13 August 2026, OpenAI describes its public account as preliminary and states that a fuller technical review is ongoing [32]. The appropriate architectural lesson is therefore limited: semantic rules such as REQUIRE_SANDBOX, LOCAL_ONLY, or NO_FALLBACK cannot themselves provide physical containment. A governance layer can state the requirement, require evidence of enforcement, and block consequences when evidence is absent; network, sandbox, IAM, and monitoring infrastructure must enforce the boundary.</w:t>
      </w:r>
    </w:p>
    <w:p>
      <w:pPr>
        <w:pStyle w:val="Heading2"/>
        <w:keepNext/>
        <w:spacing w:before="160" w:after="80"/>
      </w:pPr>
      <w:r>
        <w:t>5.2 Design history and generalization beyond agentic execution</w:t>
      </w:r>
    </w:p>
    <w:p>
      <w:pPr>
        <w:spacing w:after="100" w:line="269" w:lineRule="auto"/>
        <w:ind w:firstLine="312"/>
      </w:pPr>
      <w:r>
        <w:t>ADGL also reflects an internal design evolution. Earlier GBSN Research work on the Reliability-Actionability Framework used reliability thresholds to route uncertain analytical output to human verification and distinguished monitoring from operational triggers [33]. The original ADGL reference cases concentrated on knowledge admission, authority, lifecycle, and routing. As the architecture was tested against human-review and machine-action scenarios, two missing boundaries became explicit: governance of the analysis itself, and governance of what the result is allowed to cause. The resulting three-stage structure generalizes beyond the original agentic framing. Informational analysis remains a first-class endpoint, human decision ownership is a separate endpoint, and autonomous or non-human execution is one consequential path rather than the default architecture.</w:t>
      </w:r>
    </w:p>
    <w:p>
      <w:pPr>
        <w:pStyle w:val="Heading1"/>
        <w:keepNext/>
        <w:spacing w:before="240" w:after="80"/>
      </w:pPr>
      <w:r>
        <w:t>6. Formulated Design Requirements</w:t>
      </w:r>
    </w:p>
    <w:p>
      <w:pPr>
        <w:spacing w:after="100" w:line="269" w:lineRule="auto"/>
        <w:ind w:firstLine="312"/>
      </w:pPr>
      <w:r>
        <w:t>GBSN Research formulated the following requirements from the targeted literature synthesis, failure classes, and iterative artifact-development process described in Section 3. They are design commitments and evaluation targets for the semantic architecture, not empirical findings or claims that ADGL is the only possible implementation.</w:t>
      </w:r>
    </w:p>
    <w:tbl>
      <w:tblPr>
        <w:tblStyle w:val="TableGrid"/>
        <w:tblW w:type="auto" w:w="0"/>
        <w:jc w:val="center"/>
        <w:tblLook w:firstColumn="1" w:firstRow="1" w:lastColumn="0" w:lastRow="0" w:noHBand="0" w:noVBand="1" w:val="04A0"/>
      </w:tblPr>
      <w:tblGrid>
        <w:gridCol w:w="3156"/>
        <w:gridCol w:w="3156"/>
        <w:gridCol w:w="3156"/>
      </w:tblGrid>
      <w:tr>
        <w:trPr>
          <w:tblHeader w:val="true"/>
          <w:tblHeader w:val="true"/>
          <w:tblHeader w:val="true"/>
        </w:trPr>
        <w:tc>
          <w:tcPr>
            <w:tcW w:type="dxa" w:w="680"/>
            <w:shd w:fill="E7E6E6"/>
            <w:vAlign w:val="center"/>
            <w:tcMar>
              <w:top w:w="80" w:type="dxa"/>
              <w:start w:w="80" w:type="dxa"/>
              <w:bottom w:w="80" w:type="dxa"/>
              <w:end w:w="80" w:type="dxa"/>
              <w:top w:w="80" w:type="dxa"/>
              <w:left w:w="80" w:type="dxa"/>
              <w:bottom w:w="80" w:type="dxa"/>
              <w:right w:w="80" w:type="dxa"/>
            </w:tcMar>
          </w:tcPr>
          <w:p>
            <w:pPr>
              <w:spacing w:after="0"/>
            </w:pPr>
            <w:r>
              <w:rPr>
                <w:b/>
                <w:sz w:val="15"/>
              </w:rPr>
              <w:t>ID</w:t>
            </w:r>
          </w:p>
        </w:tc>
        <w:tc>
          <w:tcPr>
            <w:tcW w:type="dxa" w:w="2551"/>
            <w:shd w:fill="E7E6E6"/>
            <w:vAlign w:val="center"/>
            <w:tcMar>
              <w:top w:w="80" w:type="dxa"/>
              <w:start w:w="80" w:type="dxa"/>
              <w:bottom w:w="80" w:type="dxa"/>
              <w:end w:w="80" w:type="dxa"/>
              <w:top w:w="80" w:type="dxa"/>
              <w:left w:w="80" w:type="dxa"/>
              <w:bottom w:w="80" w:type="dxa"/>
              <w:right w:w="80" w:type="dxa"/>
            </w:tcMar>
          </w:tcPr>
          <w:p>
            <w:pPr>
              <w:spacing w:after="0"/>
            </w:pPr>
            <w:r>
              <w:rPr>
                <w:b/>
                <w:sz w:val="15"/>
              </w:rPr>
              <w:t>Requirement</w:t>
            </w:r>
          </w:p>
        </w:tc>
        <w:tc>
          <w:tcPr>
            <w:tcW w:type="dxa" w:w="5896"/>
            <w:shd w:fill="E7E6E6"/>
            <w:vAlign w:val="center"/>
            <w:tcMar>
              <w:top w:w="80" w:type="dxa"/>
              <w:start w:w="80" w:type="dxa"/>
              <w:bottom w:w="80" w:type="dxa"/>
              <w:end w:w="80" w:type="dxa"/>
              <w:top w:w="80" w:type="dxa"/>
              <w:left w:w="80" w:type="dxa"/>
              <w:bottom w:w="80" w:type="dxa"/>
              <w:right w:w="80" w:type="dxa"/>
            </w:tcMar>
          </w:tcPr>
          <w:p>
            <w:pPr>
              <w:spacing w:after="0"/>
            </w:pPr>
            <w:r>
              <w:rPr>
                <w:b/>
                <w:sz w:val="15"/>
              </w:rPr>
              <w:t>Rationale</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R1</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Contextual admissibility</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 Case must determine whether technically available information may influence the current computation.</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R2</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Provenance-aware influence</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Origin, lineage, lifecycle, jurisdiction, and integrity metadata must be available to admission policy.</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R3</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Independent evidence dimensions</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Authority, priority, applicability, and evidentiary role must not collapse into a single relevance score.</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R4</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Analytical-method governance</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Permitted computation must be governable independently from permitted input.</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R5</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Model/tool/environment eligibility</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The executor, processing location, fallback behavior, and tool capability may be policy conditions.</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R6</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Evidence sufficiency and conflict preservation</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Policy must be able to require mandatory evidence/corroboration and prevent silent removal of material contradiction.</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R7</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Human validation boundary</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Uncertain or methodologically weak analysis must be able to pause for validation before it becomes a governed result.</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R8</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Decision-right separation</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 valid result must not automatically inherit authority to make a consequential organizational decision.</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R9</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Explicit action authorization</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Machine execution must require bounded, case-scoped authorization separate from analytical success.</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R10</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Restriction propagation and feedback</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Derived knowledge and action outcomes must preserve lineage and applicable restrictions when re-entering the system.</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R11</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End-to-end auditability</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The system must record the policy, inputs, analytical plan, validations, decision rights, actions, and resulting state.</w:t>
            </w:r>
          </w:p>
        </w:tc>
      </w:tr>
      <w:tr>
        <w:trPr>
          <w:cantSplit/>
        </w:trPr>
        <w:tc>
          <w:tcPr>
            <w:tcW w:type="dxa" w:w="680"/>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R12</w:t>
            </w:r>
          </w:p>
        </w:tc>
        <w:tc>
          <w:tcPr>
            <w:tcW w:type="dxa" w:w="2551"/>
            <w:vAlign w:val="top"/>
            <w:tcMar>
              <w:top w:w="80" w:type="dxa"/>
              <w:start w:w="80" w:type="dxa"/>
              <w:bottom w:w="80" w:type="dxa"/>
              <w:end w:w="80" w:type="dxa"/>
              <w:top w:w="80" w:type="dxa"/>
              <w:left w:w="80" w:type="dxa"/>
              <w:bottom w:w="80" w:type="dxa"/>
              <w:right w:w="80" w:type="dxa"/>
            </w:tcMar>
          </w:tcPr>
          <w:p>
            <w:pPr>
              <w:spacing w:after="0" w:line="240" w:lineRule="auto"/>
            </w:pPr>
            <w:r>
              <w:rPr>
                <w:sz w:val="15"/>
              </w:rPr>
              <w:t>Implementation neutrality</w:t>
            </w:r>
          </w:p>
        </w:tc>
        <w:tc>
          <w:tcPr>
            <w:tcW w:type="dxa" w:w="5896"/>
            <w:vAlign w:val="top"/>
            <w:tcMar>
              <w:top w:w="80" w:type="dxa"/>
              <w:start w:w="80" w:type="dxa"/>
              <w:bottom w:w="80" w:type="dxa"/>
              <w:end w:w="80" w:type="dxa"/>
              <w:top w:w="80" w:type="dxa"/>
              <w:left w:w="80" w:type="dxa"/>
              <w:bottom w:w="80" w:type="dxa"/>
              <w:right w:w="80" w:type="dxa"/>
            </w:tcMar>
          </w:tcPr>
          <w:p>
            <w:pPr>
              <w:spacing w:after="0" w:line="240" w:lineRule="auto"/>
            </w:pPr>
            <w:r>
              <w:rPr>
                <w:sz w:val="15"/>
              </w:rPr>
              <w:t>The semantic contract should be portable across models, storage systems, retrieval mechanisms, policy engines, and enforcement infrastructure.</w:t>
            </w:r>
          </w:p>
        </w:tc>
      </w:tr>
    </w:tbl>
    <w:p>
      <w:pPr>
        <w:spacing w:after="20"/>
      </w:pPr>
      <w:r/>
    </w:p>
    <w:p>
      <w:pPr>
        <w:pStyle w:val="Heading1"/>
        <w:keepNext/>
        <w:spacing w:before="240" w:after="80"/>
      </w:pPr>
      <w:r>
        <w:t>7. ADGL Conceptual Architecture</w:t>
      </w:r>
    </w:p>
    <w:p>
      <w:pPr>
        <w:spacing w:after="100" w:line="269" w:lineRule="auto"/>
        <w:ind w:firstLine="312"/>
      </w:pPr>
      <w:r>
        <w:t>ADGL represents an execution as a policy-bound Case moving through three semantic stages. The stages are observable boundaries, not necessarily separate microservices. An implementation may fuse them operationally provided it preserves equivalent decisions and audit semantics.</w:t>
      </w:r>
    </w:p>
    <w:p>
      <w:pPr>
        <w:jc w:val="center"/>
      </w:pPr>
      <w:r/>
    </w:p>
    <w:p>
      <w:pPr>
        <w:spacing w:after="160"/>
        <w:jc w:val="center"/>
      </w:pPr>
      <w:r>
        <w:t>Fig. 1. ADGL three-stage governance architecture. Policy and Case context apply across Knowledge, Analysis, and Consequence Governance; Audit and Provenance span the complete trajectory.</w:t>
      </w:r>
    </w:p>
    <w:p>
      <w:pPr>
        <w:pStyle w:val="Heading2"/>
        <w:keepNext/>
        <w:spacing w:before="160" w:after="80"/>
      </w:pPr>
      <w:r>
        <w:t>7.1 Policy and Case context</w:t>
      </w:r>
    </w:p>
    <w:p>
      <w:pPr>
        <w:spacing w:after="100" w:line="269" w:lineRule="auto"/>
        <w:ind w:firstLine="312"/>
      </w:pPr>
      <w:r>
        <w:t>A Case binds the governance question to concrete context: purpose, subject, actors, jurisdiction, classification, time, organizational state, applicable policy set, and other domain attributes. This prevents the architecture from assigning global meaning to a source, model, or action. The same document can be admissible for historical analysis but excluded from a current regulatory determination; the same model can be permitted for public information but prohibited for restricted data; the same API action can be permitted under one workflow and forbidden under another.</w:t>
      </w:r>
    </w:p>
    <w:p>
      <w:pPr>
        <w:pStyle w:val="Heading2"/>
        <w:keepNext/>
        <w:spacing w:before="160" w:after="80"/>
      </w:pPr>
      <w:r>
        <w:t>7.2 Three governance stages</w:t>
      </w:r>
    </w:p>
    <w:p>
      <w:pPr>
        <w:spacing w:after="100" w:line="269" w:lineRule="auto"/>
        <w:ind w:firstLine="312"/>
      </w:pPr>
      <w:r>
        <w:t>Knowledge Governance answers what may enter the governed evidence set and in what capacity. Analysis Governance answers what may be done with that evidence and under which executor, method, validation, and environment conditions. Consequence Governance answers what the resulting analysis may be allowed to cause. The ordering is deliberate: a downstream stage must not silently convert failure or uncertainty in an upstream stage into a successful-looking outcome.</w:t>
      </w:r>
    </w:p>
    <w:p>
      <w:pPr>
        <w:pStyle w:val="Heading2"/>
        <w:keepNext/>
        <w:spacing w:before="160" w:after="80"/>
      </w:pPr>
      <w:r>
        <w:t>7.3 Audit and provenance as a plane, not a fourth stage</w:t>
      </w:r>
    </w:p>
    <w:p>
      <w:pPr>
        <w:spacing w:after="100" w:line="269" w:lineRule="auto"/>
        <w:ind w:firstLine="312"/>
      </w:pPr>
      <w:r>
        <w:t>Audit is transversal. It should record candidate and admitted knowledge, provenance, exclusions, model/tool selection, analysis method, validation, result state, consequence disposition, human interventions, action authorization, enforcement evidence, and resulting state. This aligns with end-to-end accountability approaches [30], [31] while remaining narrower in scope: ADGL audit concerns reconstruction of the governance conditions surrounding an execution, not general organizational assurance.</w:t>
      </w:r>
    </w:p>
    <w:p>
      <w:pPr>
        <w:pStyle w:val="Heading1"/>
        <w:keepNext/>
        <w:spacing w:before="240" w:after="80"/>
      </w:pPr>
      <w:r>
        <w:t>8. Knowledge Governance</w:t>
      </w:r>
    </w:p>
    <w:p>
      <w:pPr>
        <w:spacing w:after="100" w:line="269" w:lineRule="auto"/>
        <w:ind w:firstLine="312"/>
      </w:pPr>
      <w:r>
        <w:t>Knowledge Governance determines which candidate objects may influence the Case. Candidate knowledge may originate from databases, document stores, search, RAG retrievers, APIs, human submissions, logs, or derived analytical results. Retrieval produces candidates; admission is a governance decision.</w:t>
      </w:r>
    </w:p>
    <w:p>
      <w:pPr>
        <w:spacing w:after="100" w:line="269" w:lineRule="auto"/>
        <w:ind w:firstLine="312"/>
      </w:pPr>
      <w:r>
        <w:t>The knowledge model deliberately keeps several dimensions distinct. Authority describes the source's standing for a subject or domain. Priority is an operational preference in the current Case. Applicability determines whether otherwise authoritative material governs the current circumstances. Evidence role describes how the object participates: GOVERNING, PRIMARY, CORROBORATING, SUPPLEMENTARY, CONTEXTUAL, CONTRADICTORY, or EXCLUDED. A highly relevant document can still be non-governing; an authoritative document can be inapplicable; a high-priority internal source can be contradicted by more authoritative external evidence. These distinctions reduce the risk that retrieval score, source reputation, or organizational preference becomes a hidden proxy for truth or legal authority.</w:t>
      </w:r>
    </w:p>
    <w:p>
      <w:pPr>
        <w:spacing w:after="100" w:line="269" w:lineRule="auto"/>
        <w:ind w:firstLine="312"/>
      </w:pPr>
      <w:r>
        <w:t>Lifecycle controls such as QUARANTINE, EMBARGO, SUPERSEDE, EXPIRE, and REVOKE address the temporal and approval status of information. Provenance and restriction propagation connect Knowledge Governance to PROV-like lineage [10] and to information-flow/usage-control traditions [8], [11]. A derived object should not become unrestricted merely because it is a summary or model output of a restricted source. The exact inheritance rules are policy-dependent, but the lineage must remain observable.</w:t>
      </w:r>
    </w:p>
    <w:p>
      <w:pPr>
        <w:spacing w:after="100" w:line="269" w:lineRule="auto"/>
        <w:ind w:firstLine="312"/>
      </w:pPr>
      <w:r>
        <w:t>Knowledge Governance therefore complements, rather than replaces, access control and documentation. A datasheet or data statement may establish provenance and intended use [12], [18]; IAM may establish entitlement; a retriever may establish relevance. ADGL asks a different runtime question: may this object influence this Case, and if so, how?</w:t>
      </w:r>
    </w:p>
    <w:p>
      <w:pPr>
        <w:pStyle w:val="Heading1"/>
        <w:keepNext/>
        <w:spacing w:before="240" w:after="80"/>
      </w:pPr>
      <w:r>
        <w:t>9. Analysis Governance</w:t>
      </w:r>
    </w:p>
    <w:p>
      <w:pPr>
        <w:spacing w:after="100" w:line="269" w:lineRule="auto"/>
        <w:ind w:firstLine="312"/>
      </w:pPr>
      <w:r>
        <w:t>Analysis Governance addresses a gap that appears once admissible evidence is treated as sufficient permission to compute. Two systems can receive the same governed evidence yet produce materially different results because they use different models, prompts, statistical transformations, aggregation rules, inference assumptions, thresholds, or tool chains. Production ML research emphasizes that such system-level choices can dominate reliability [16], [17], [29]. ADGL therefore treats the analytical procedure itself as a governable object.</w:t>
      </w:r>
    </w:p>
    <w:p>
      <w:pPr>
        <w:spacing w:after="100" w:line="269" w:lineRule="auto"/>
        <w:ind w:firstLine="312"/>
      </w:pPr>
      <w:r>
        <w:t>The current vocabulary is illustrative and organized into four categories rather than presented as exhaustive or canonical: analytical operations (COMPARE, CLASSIFY, SUMMARIZE, CALCULATE, SCORE, ESTIMATE, INFER); transformations (SAMPLE, AGGREGATE, NORMALIZE, WEIGHT); epistemic controls (CORROBORATE, CHALLENGE, VERIFY, contradiction preservation, evidence sufficiency); and executor constraints (model/version, tool, processing region, environment, and output contract). Operations may be composed and domain profiles may extend them. Conformance should depend on declared semantics and observable state transitions, not merely on shared verb labels. Whether a method is authorized is distinct from whether it is scientifically valid.</w:t>
      </w:r>
    </w:p>
    <w:p>
      <w:r/>
    </w:p>
    <w:p>
      <w:pPr/>
      <w:r>
        <w:t>Conceptual principle: governance validity is not epistemic validity. Knowledge Governance regulates permitted influence rather than truth, and Analysis Governance regulates permitted procedure rather than scientific correctness.</w:t>
      </w:r>
    </w:p>
    <w:p>
      <w:pPr>
        <w:spacing w:after="100" w:line="269" w:lineRule="auto"/>
        <w:ind w:firstLine="312"/>
      </w:pPr>
      <w:r>
        <w:t>Human participation inside Analysis Governance is validation, not necessarily decision ownership. For example, a policy may allow CLASSIFY but require human verification below a confidence threshold. The human is then validating the analytical artifact so that it can become a governed result. This is conceptually different from a later DECIDE disposition in which an accountable person owns the consequential choice. Conflating the two can create nominal 'human-in-the-loop' processes where a person appears in the workflow but has no clearly defined authority or evidentiary role.</w:t>
      </w:r>
    </w:p>
    <w:p>
      <w:pPr>
        <w:spacing w:after="100" w:line="269" w:lineRule="auto"/>
        <w:ind w:firstLine="312"/>
      </w:pPr>
      <w:r>
        <w:t>Indirect prompt injection [23] further motivates analysis-level controls. When retrieved content can influence instructions, a system needs explicit distinctions among source content, control instructions, permitted tools, and action capabilities. ADGL does not define a complete prompt-isolation model, but it provides stage boundaries in which an implementation can require instruction/content separation, tool allowlists, output contracts, and post-analysis validation before a consequence is considered.</w:t>
      </w:r>
    </w:p>
    <w:p>
      <w:pPr>
        <w:pStyle w:val="Heading1"/>
        <w:keepNext/>
        <w:spacing w:before="240" w:after="80"/>
      </w:pPr>
      <w:r>
        <w:t>10. Consequence Governance and Decision Rights</w:t>
      </w:r>
    </w:p>
    <w:p>
      <w:pPr>
        <w:spacing w:after="100" w:line="269" w:lineRule="auto"/>
        <w:ind w:firstLine="312"/>
      </w:pPr>
      <w:r>
        <w:t>Consequence Governance makes explicit a boundary that is often implicit in AI systems: a governed analytical result is not automatically authorized to produce a consequential change. INFORM, DECIDE, and ACT are three classes of consequential authority, not an exhaustive list of atomic workflow operations. Complex workflows compose these classes while retaining explicit ownership and authorization at each transition.</w:t>
      </w:r>
    </w:p>
    <w:p>
      <w:pPr>
        <w:pStyle w:val="ListBullet"/>
        <w:spacing w:after="40" w:line="259" w:lineRule="auto"/>
      </w:pPr>
      <w:r>
        <w:t>INFORM: return, display, transmit, or store the governed result without authorizing a consequential external action.</w:t>
      </w:r>
    </w:p>
    <w:p>
      <w:pPr>
        <w:pStyle w:val="ListBullet"/>
        <w:spacing w:after="40" w:line="259" w:lineRule="auto"/>
      </w:pPr>
      <w:r>
        <w:t>DECIDE: assign the next consequential decision to a human or accountable role, which may approve, deny, modify, request evidence, defer, or escalate according to policy.</w:t>
      </w:r>
    </w:p>
    <w:p>
      <w:pPr>
        <w:pStyle w:val="ListBullet"/>
        <w:spacing w:after="40" w:line="259" w:lineRule="auto"/>
      </w:pPr>
      <w:r>
        <w:t>ACT: permit a machine-executable instruction, subject to separate action authorization and external enforcement.</w:t>
      </w:r>
    </w:p>
    <w:p>
      <w:pPr>
        <w:jc w:val="center"/>
      </w:pPr>
      <w:r/>
    </w:p>
    <w:p>
      <w:pPr>
        <w:spacing w:after="160"/>
        <w:jc w:val="center"/>
      </w:pPr>
      <w:r>
        <w:t>Fig. 2. Consequence Governance distinguishes informational output, human-owned decision authority, and machine-executable action. Human validation may also occur earlier inside Analysis Governance.</w:t>
      </w:r>
    </w:p>
    <w:p>
      <w:pPr>
        <w:spacing w:after="100" w:line="269" w:lineRule="auto"/>
        <w:ind w:firstLine="312"/>
      </w:pPr>
      <w:r>
        <w:t>The INFORM/DECIDE/ACT model is compatible with the human-automation literature's separation of information analysis, decision selection, and action implementation [20]-[22], while simplifying those distinctions into governance dispositions rather than levels of automation. An INFORM system can use sophisticated AI internally while still withholding consequential authority. A DECIDE system can provide recommendations while preserving accountable human ownership. An ACT system can execute autonomously or through ordinary software, but only within a bounded capability. Agentic execution is therefore a subset of ACT, not the definition of the architecture.</w:t>
      </w:r>
    </w:p>
    <w:p>
      <w:r/>
    </w:p>
    <w:p>
      <w:pPr/>
      <w:r>
        <w:t>Permitted compositions include INFORM; DECIDE; ACT; DECIDE -&gt; ACT after approval; ACT + INFORM; sequential or multi-party DECIDE; and loops that request evidence, defer, escalate, or modify a proposal. Storing a result is normally INFORM; requesting evidence or escalation is a transition; and reversible or partial automation remains ACT with correspondingly bounded capability. Composition must not erase the responsible decision owner or the capability grant required for execution.</w:t>
      </w:r>
    </w:p>
    <w:p>
      <w:pPr>
        <w:spacing w:after="100" w:line="269" w:lineRule="auto"/>
        <w:ind w:firstLine="312"/>
      </w:pPr>
      <w:r>
        <w:t>Action authorization can be scoped by Case, action type, target, value, volume, number of calls, expiry, reversibility, or other constraints. A DECIDE path may transition to ACT after an authorized approval or consent. The semantic transition does not replace IAM, OAuth, Cedar, XACML, MCP authorization, or API enforcement; it states that those enforcement mechanisms should receive a governance decision that is distinguishable from the analytical result that motivated it.</w:t>
      </w:r>
    </w:p>
    <w:p>
      <w:pPr>
        <w:pStyle w:val="Heading1"/>
        <w:keepNext/>
        <w:spacing w:before="240" w:after="80"/>
      </w:pPr>
      <w:r>
        <w:t>11. Audit, Provenance, and Feedback</w:t>
      </w:r>
    </w:p>
    <w:p>
      <w:pPr>
        <w:spacing w:after="100" w:line="269" w:lineRule="auto"/>
        <w:ind w:firstLine="312"/>
      </w:pPr>
      <w:r>
        <w:t>AI-enabled systems are iterative. An analytical tool call may retrieve additional information. A model-generated conclusion may be stored and later reused. A human decision may create new organizational facts. An API action may change the environment and thereby alter future evidence. ADGL therefore treats governance as a repeatable cycle rather than a one-way pipeline.</w:t>
      </w:r>
    </w:p>
    <w:p>
      <w:pPr>
        <w:spacing w:after="100" w:line="269" w:lineRule="auto"/>
        <w:ind w:firstLine="312"/>
      </w:pPr>
      <w:r>
        <w:t>When a new object enters through retrieval, generation, or action outcome, it re-enters Knowledge Governance as candidate knowledge with lineage such as DERIVES_FROM or WAS_GENERATED_BY. Applicable restrictions should propagate unless an explicit authorized transformation changes them. This is consistent with PROV's entity/activity/agent model [10] and with the broader insight from technical-debt and data-cascade research that downstream artifacts can preserve or amplify upstream defects [15], [16].</w:t>
      </w:r>
    </w:p>
    <w:p>
      <w:pPr>
        <w:jc w:val="center"/>
      </w:pPr>
      <w:r/>
    </w:p>
    <w:p>
      <w:pPr>
        <w:spacing w:after="160"/>
        <w:jc w:val="center"/>
      </w:pPr>
      <w:r>
        <w:t>Fig. 3. Feedback loops preserve governance when retrieval, analytical results, or action outcomes create new candidate knowledge.</w:t>
      </w:r>
    </w:p>
    <w:p>
      <w:pPr>
        <w:spacing w:after="100" w:line="269" w:lineRule="auto"/>
        <w:ind w:firstLine="312"/>
      </w:pPr>
      <w:r>
        <w:t>The audit objective is reconstructability, not deterministic reproduction of probabilistic text. A sufficient record should support questions such as: which sources were considered and excluded; which policy version applied; which model/tool and method were permitted; what validation occurred; who owned the decision; what capability authorized an action; what enforcement evidence was observed; and what resulting state was created. Stronger production implementations may add cryptographic integrity, tamper-evident logs, signed policy bundles, immutable snapshots, and external attestations; those mechanisms are outside the minimal semantic core.</w:t>
      </w:r>
    </w:p>
    <w:p>
      <w:pPr>
        <w:pStyle w:val="Heading1"/>
        <w:keepNext/>
        <w:spacing w:before="240" w:after="80"/>
      </w:pPr>
      <w:r>
        <w:t>12. Abstract Execution and Transition Model</w:t>
      </w:r>
    </w:p>
    <w:p>
      <w:pPr>
        <w:spacing w:after="100" w:line="269" w:lineRule="auto"/>
        <w:ind w:firstLine="312"/>
      </w:pPr>
      <w:r>
        <w:t>Let a time-indexed Case be C_t = (p, s, a, j, t, c, P, h), containing purpose p, subject s, actors a, jurisdiction j, time t, classification/context c, applicable policies P, and relevant trajectory history h. Let K be the candidate knowledge set, M the available models/tools, and A a declared analytical plan. A system state is S = (C_t, K_s, A_s, O_s, T), where K_s, A_s, and O_s record stage states and T is the audit trajectory. The following functions describe abstract semantic boundaries rather than a complete denotational semantics.</w:t>
      </w:r>
    </w:p>
    <w:p>
      <w:pPr>
        <w:spacing w:after="40"/>
        <w:jc w:val="center"/>
      </w:pPr>
      <w:r>
        <w:t>G_K(C, K) -&gt; K*</w:t>
      </w:r>
    </w:p>
    <w:p>
      <w:pPr>
        <w:spacing w:after="40"/>
        <w:jc w:val="center"/>
      </w:pPr>
      <w:r>
        <w:t>G_A(C, K*, M, A) -&gt; R</w:t>
      </w:r>
    </w:p>
    <w:p>
      <w:pPr>
        <w:spacing w:after="40"/>
        <w:jc w:val="center"/>
      </w:pPr>
      <w:r>
        <w:t>G_C(C, R) -&gt; O</w:t>
      </w:r>
    </w:p>
    <w:p>
      <w:pPr>
        <w:spacing w:after="40"/>
        <w:jc w:val="center"/>
      </w:pPr>
      <w:r>
        <w:t>O ∈ {INFORM, DECIDE, ACT}, with DECIDE -&gt; ACT permitted by policy</w:t>
      </w:r>
    </w:p>
    <w:p>
      <w:pPr>
        <w:spacing w:after="40"/>
        <w:jc w:val="center"/>
      </w:pPr>
      <w:r>
        <w:t>T = Audit(C, K, K*, A, R, O)</w:t>
      </w:r>
    </w:p>
    <w:p>
      <w:pPr>
        <w:spacing w:after="100" w:line="269" w:lineRule="auto"/>
        <w:ind w:firstLine="312"/>
      </w:pPr>
      <w:r>
        <w:t>The functions are semantic boundaries rather than deployment requirements. A single process may implement all three. A distributed system may use different policy engines or services. Conformance depends on observable outcomes, propagation rules, and audit semantics rather than on a mandated topology.</w:t>
      </w:r>
    </w:p>
    <w:p>
      <w:r/>
    </w:p>
    <w:p>
      <w:pPr/>
      <w:r>
        <w:t>A transition S_i -[rule]-&gt; S_(i+1) is permitted only when the applicable policy preconditions hold and the transition is appended to T. Minimum execution-integrity invariants are: BLOCKED_K implies AnalysisSuccess is unreachable; AWAITING_VALIDATION_A or REJECTED_A implies Consequence is unreachable; and ACT implies a valid, case-scoped capability grant for the proposed action. History h permits policies over prior approvals, revocation, repeated calls, cumulative value limits, replay, and temporal escalation.</w:t>
      </w:r>
    </w:p>
    <w:p>
      <w:pPr>
        <w:spacing w:after="100" w:line="269" w:lineRule="auto"/>
        <w:ind w:firstLine="312"/>
      </w:pPr>
      <w:r>
        <w:t>A terminal or unresolved upstream state constrains downstream reachability. If Knowledge Governance blocks the case, Analysis and Consequence must not report successful states. If Analysis requires validation or rejects an invalid analytical result, Consequence must remain not reached. This execution-integrity property is important because a downstream application may otherwise key on a consequence field while overlooking an upstream failure.</w:t>
      </w:r>
    </w:p>
    <w:p>
      <w:pPr>
        <w:pStyle w:val="Heading1"/>
        <w:keepNext/>
        <w:spacing w:before="240" w:after="80"/>
      </w:pPr>
      <w:r>
        <w:t>13. Reference Implementation and Conformance</w:t>
      </w:r>
    </w:p>
    <w:p>
      <w:pPr>
        <w:spacing w:after="100" w:line="269" w:lineRule="auto"/>
        <w:ind w:firstLine="312"/>
      </w:pPr>
      <w:r>
        <w:t>The public Python Reference Toolkit is an executable research artifact, not a production governance service. The 0.5.0 evaluation baseline implements deterministic Knowledge Governance plus a three-stage PipelineEngine and 25 published normative conformance checks. The current public toolkit, 0.5.3, preserves those 25 normative checks and adds 11 candidate execution-integrity checks discovered during implementation hardening. The candidate checks are intentionally reported separately: they are evidence for future specification work, not retroactively promoted into the normative evaluation without review.</w:t>
      </w:r>
    </w:p>
    <w:p>
      <w:pPr>
        <w:spacing w:after="100" w:line="269" w:lineRule="auto"/>
        <w:ind w:firstLine="312"/>
      </w:pPr>
      <w:r>
        <w:t>The eight reference cases in Appendix C preserve four earlier knowledge-governance cases and add four cross-stage cases: human validation during analysis, a human decision boundary, autonomous machine/API action, and human approval followed by machine action. The cases are designed as falsifiable semantic fixtures rather than demonstrations of production safety. They test expected states, evidence roles, routing, human boundaries, capability grants, and audit coverage.</w:t>
      </w:r>
    </w:p>
    <w:tbl>
      <w:tblPr>
        <w:tblStyle w:val="TableGrid"/>
        <w:tblW w:type="auto" w:w="0"/>
        <w:jc w:val="center"/>
        <w:tblLook w:firstColumn="1" w:firstRow="1" w:lastColumn="0" w:lastRow="0" w:noHBand="0" w:noVBand="1" w:val="04A0"/>
      </w:tblPr>
      <w:tblGrid>
        <w:gridCol w:w="4734"/>
        <w:gridCol w:w="4734"/>
      </w:tblGrid>
      <w:tr>
        <w:trPr>
          <w:tblHeader w:val="true"/>
          <w:tblHeader w:val="true"/>
          <w:tblHeader w:val="true"/>
        </w:trPr>
        <w:tc>
          <w:tcPr>
            <w:tcW w:type="dxa" w:w="2268"/>
            <w:shd w:fill="E7E6E6"/>
            <w:vAlign w:val="center"/>
            <w:tcMar>
              <w:top w:w="80" w:type="dxa"/>
              <w:start w:w="80" w:type="dxa"/>
              <w:bottom w:w="80" w:type="dxa"/>
              <w:end w:w="80" w:type="dxa"/>
              <w:top w:w="80" w:type="dxa"/>
              <w:left w:w="80" w:type="dxa"/>
              <w:bottom w:w="80" w:type="dxa"/>
              <w:right w:w="80" w:type="dxa"/>
            </w:tcMar>
          </w:tcPr>
          <w:p>
            <w:pPr>
              <w:spacing w:after="0"/>
            </w:pPr>
            <w:r>
              <w:rPr>
                <w:b/>
                <w:sz w:val="16"/>
              </w:rPr>
              <w:t>Coverage area</w:t>
            </w:r>
          </w:p>
        </w:tc>
        <w:tc>
          <w:tcPr>
            <w:tcW w:type="dxa" w:w="6860"/>
            <w:shd w:fill="E7E6E6"/>
            <w:vAlign w:val="center"/>
            <w:tcMar>
              <w:top w:w="80" w:type="dxa"/>
              <w:start w:w="80" w:type="dxa"/>
              <w:bottom w:w="80" w:type="dxa"/>
              <w:end w:w="80" w:type="dxa"/>
              <w:top w:w="80" w:type="dxa"/>
              <w:left w:w="80" w:type="dxa"/>
              <w:bottom w:w="80" w:type="dxa"/>
              <w:right w:w="80" w:type="dxa"/>
            </w:tcMar>
          </w:tcPr>
          <w:p>
            <w:pPr>
              <w:spacing w:after="0"/>
            </w:pPr>
            <w:r>
              <w:rPr>
                <w:b/>
                <w:sz w:val="16"/>
              </w:rPr>
              <w:t>Normative conformance coverage</w:t>
            </w:r>
          </w:p>
        </w:tc>
      </w:tr>
      <w:tr>
        <w:trPr>
          <w:cantSplit/>
        </w:trPr>
        <w:tc>
          <w:tcPr>
            <w:tcW w:type="dxa" w:w="2268"/>
            <w:vAlign w:val="top"/>
            <w:tcMar>
              <w:top w:w="80" w:type="dxa"/>
              <w:start w:w="80" w:type="dxa"/>
              <w:bottom w:w="80" w:type="dxa"/>
              <w:end w:w="80" w:type="dxa"/>
              <w:top w:w="80" w:type="dxa"/>
              <w:left w:w="80" w:type="dxa"/>
              <w:bottom w:w="80" w:type="dxa"/>
              <w:right w:w="80" w:type="dxa"/>
            </w:tcMar>
          </w:tcPr>
          <w:p>
            <w:pPr>
              <w:spacing w:after="0" w:line="240" w:lineRule="auto"/>
            </w:pPr>
            <w:r>
              <w:rPr>
                <w:sz w:val="16"/>
              </w:rPr>
              <w:t>Knowledge and lifecycle</w:t>
            </w:r>
          </w:p>
        </w:tc>
        <w:tc>
          <w:tcPr>
            <w:tcW w:type="dxa" w:w="6860"/>
            <w:vAlign w:val="top"/>
            <w:tcMar>
              <w:top w:w="80" w:type="dxa"/>
              <w:start w:w="80" w:type="dxa"/>
              <w:bottom w:w="80" w:type="dxa"/>
              <w:end w:w="80" w:type="dxa"/>
              <w:top w:w="80" w:type="dxa"/>
              <w:left w:w="80" w:type="dxa"/>
              <w:bottom w:w="80" w:type="dxa"/>
              <w:right w:w="80" w:type="dxa"/>
            </w:tcMar>
          </w:tcPr>
          <w:p>
            <w:pPr>
              <w:spacing w:after="0" w:line="240" w:lineRule="auto"/>
            </w:pPr>
            <w:r>
              <w:rPr>
                <w:sz w:val="16"/>
              </w:rPr>
              <w:t>Exclusion, quarantine, embargo, supersession, applicability, priority/authority separation, mandatory evidence, conflict preservation, derived restriction propagation.</w:t>
            </w:r>
          </w:p>
        </w:tc>
      </w:tr>
      <w:tr>
        <w:trPr>
          <w:cantSplit/>
        </w:trPr>
        <w:tc>
          <w:tcPr>
            <w:tcW w:type="dxa" w:w="2268"/>
            <w:vAlign w:val="top"/>
            <w:tcMar>
              <w:top w:w="80" w:type="dxa"/>
              <w:start w:w="80" w:type="dxa"/>
              <w:bottom w:w="80" w:type="dxa"/>
              <w:end w:w="80" w:type="dxa"/>
              <w:top w:w="80" w:type="dxa"/>
              <w:left w:w="80" w:type="dxa"/>
              <w:bottom w:w="80" w:type="dxa"/>
              <w:right w:w="80" w:type="dxa"/>
            </w:tcMar>
          </w:tcPr>
          <w:p>
            <w:pPr>
              <w:spacing w:after="0" w:line="240" w:lineRule="auto"/>
            </w:pPr>
            <w:r>
              <w:rPr>
                <w:sz w:val="16"/>
              </w:rPr>
              <w:t>Model/environment</w:t>
            </w:r>
          </w:p>
        </w:tc>
        <w:tc>
          <w:tcPr>
            <w:tcW w:type="dxa" w:w="6860"/>
            <w:vAlign w:val="top"/>
            <w:tcMar>
              <w:top w:w="80" w:type="dxa"/>
              <w:start w:w="80" w:type="dxa"/>
              <w:bottom w:w="80" w:type="dxa"/>
              <w:end w:w="80" w:type="dxa"/>
              <w:top w:w="80" w:type="dxa"/>
              <w:left w:w="80" w:type="dxa"/>
              <w:bottom w:w="80" w:type="dxa"/>
              <w:right w:w="80" w:type="dxa"/>
            </w:tcMar>
          </w:tcPr>
          <w:p>
            <w:pPr>
              <w:spacing w:after="0" w:line="240" w:lineRule="auto"/>
            </w:pPr>
            <w:r>
              <w:rPr>
                <w:sz w:val="16"/>
              </w:rPr>
              <w:t>Model eligibility, processing-region safety, fallback safety.</w:t>
            </w:r>
          </w:p>
        </w:tc>
      </w:tr>
      <w:tr>
        <w:trPr>
          <w:cantSplit/>
        </w:trPr>
        <w:tc>
          <w:tcPr>
            <w:tcW w:type="dxa" w:w="2268"/>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Analysis</w:t>
            </w:r>
          </w:p>
        </w:tc>
        <w:tc>
          <w:tcPr>
            <w:tcW w:type="dxa" w:w="6860"/>
            <w:vAlign w:val="top"/>
            <w:tcMar>
              <w:top w:w="80" w:type="dxa"/>
              <w:start w:w="80" w:type="dxa"/>
              <w:bottom w:w="80" w:type="dxa"/>
              <w:end w:w="80" w:type="dxa"/>
              <w:top w:w="80" w:type="dxa"/>
              <w:left w:w="80" w:type="dxa"/>
              <w:bottom w:w="80" w:type="dxa"/>
              <w:right w:w="80" w:type="dxa"/>
            </w:tcMar>
          </w:tcPr>
          <w:p>
            <w:pPr>
              <w:spacing w:after="0" w:line="240" w:lineRule="auto"/>
            </w:pPr>
            <w:r>
              <w:rPr>
                <w:sz w:val="16"/>
              </w:rPr>
              <w:t>Method governance, no-infer-missing, corroboration gate, human validation behavior.</w:t>
            </w:r>
          </w:p>
        </w:tc>
      </w:tr>
      <w:tr>
        <w:trPr>
          <w:cantSplit/>
        </w:trPr>
        <w:tc>
          <w:tcPr>
            <w:tcW w:type="dxa" w:w="2268"/>
            <w:vAlign w:val="top"/>
            <w:tcMar>
              <w:top w:w="80" w:type="dxa"/>
              <w:start w:w="80" w:type="dxa"/>
              <w:bottom w:w="80" w:type="dxa"/>
              <w:end w:w="80" w:type="dxa"/>
              <w:top w:w="80" w:type="dxa"/>
              <w:left w:w="80" w:type="dxa"/>
              <w:bottom w:w="80" w:type="dxa"/>
              <w:right w:w="80" w:type="dxa"/>
            </w:tcMar>
          </w:tcPr>
          <w:p>
            <w:pPr>
              <w:spacing w:after="0" w:line="240" w:lineRule="auto"/>
            </w:pPr>
            <w:r>
              <w:rPr>
                <w:sz w:val="16"/>
              </w:rPr>
              <w:t>Consequence</w:t>
            </w:r>
          </w:p>
        </w:tc>
        <w:tc>
          <w:tcPr>
            <w:tcW w:type="dxa" w:w="6860"/>
            <w:vAlign w:val="top"/>
            <w:tcMar>
              <w:top w:w="80" w:type="dxa"/>
              <w:start w:w="80" w:type="dxa"/>
              <w:bottom w:w="80" w:type="dxa"/>
              <w:end w:w="80" w:type="dxa"/>
              <w:top w:w="80" w:type="dxa"/>
              <w:left w:w="80" w:type="dxa"/>
              <w:bottom w:w="80" w:type="dxa"/>
              <w:right w:w="80" w:type="dxa"/>
            </w:tcMar>
          </w:tcPr>
          <w:p>
            <w:pPr>
              <w:spacing w:after="0" w:line="240" w:lineRule="auto"/>
            </w:pPr>
            <w:r>
              <w:rPr>
                <w:sz w:val="16"/>
              </w:rPr>
              <w:t>INFORM, DECIDE, ACT authorization, DECIDE-to-ACT, task-scoped grant.</w:t>
            </w:r>
          </w:p>
        </w:tc>
      </w:tr>
      <w:tr>
        <w:trPr>
          <w:cantSplit/>
        </w:trPr>
        <w:tc>
          <w:tcPr>
            <w:tcW w:type="dxa" w:w="2268"/>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Audit/portability</w:t>
            </w:r>
          </w:p>
        </w:tc>
        <w:tc>
          <w:tcPr>
            <w:tcW w:type="dxa" w:w="6860"/>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Audit completeness, deterministic replay, portable-subset equivalence, end-to-end stage coverage, policy composition.</w:t>
            </w:r>
          </w:p>
        </w:tc>
      </w:tr>
    </w:tbl>
    <w:p>
      <w:pPr>
        <w:spacing w:after="20"/>
      </w:pPr>
      <w:r/>
    </w:p>
    <w:p>
      <w:pPr>
        <w:spacing w:after="100" w:line="269" w:lineRule="auto"/>
        <w:ind w:firstLine="312"/>
      </w:pPr>
      <w:r>
        <w:t>Appendix A defines the core semantic specification. Appendix B defines stage and outcome behavior. Appendix C defines reference cases and illustrative profiles. Appendix D documents toolkit status, conformance, benchmarks, and reproducibility. Appendix E provides the detailed comparison with existing governance mechanisms.</w:t>
      </w:r>
    </w:p>
    <w:p>
      <w:pPr>
        <w:pStyle w:val="Heading1"/>
        <w:keepNext/>
        <w:spacing w:before="240" w:after="80"/>
      </w:pPr>
      <w:r>
        <w:t>14. Evaluation</w:t>
      </w:r>
    </w:p>
    <w:p>
      <w:pPr>
        <w:pStyle w:val="Heading2"/>
        <w:keepNext/>
        <w:spacing w:before="160" w:after="80"/>
      </w:pPr>
      <w:r>
        <w:t>14.1 Semantic validation and conformance</w:t>
      </w:r>
    </w:p>
    <w:p>
      <w:pPr>
        <w:spacing w:after="100" w:line="269" w:lineRule="auto"/>
        <w:ind w:firstLine="312"/>
      </w:pPr>
      <w:r>
        <w:t>The primary evaluation claim is semantic executability, not empirical proof of governance effectiveness in production. The reference artifact demonstrates that the proposed states and transitions can be encoded, tested, and replayed deterministically for the declared subset. The packaged baseline passes 25/25 published normative conformance checks. Toolkit 0.5.3 also passes 11/11 candidate execution-integrity checks, for 36/36 current checks, while preserving the distinction between published normative requirements and later hardening candidates. All fixtures, tests, and implementation code were produced by GBSN Research. The passing results therefore demonstrate internal implementation consistency with designer-authored expectations; they are not statistical evidence, independent validation, or proof of governance effectiveness. This limitation is especially material because GBSN Research develops both the proposed standard and a commercial product that implements or may implement it.</w:t>
      </w:r>
    </w:p>
    <w:p>
      <w:pPr>
        <w:pStyle w:val="Heading2"/>
        <w:keepNext/>
        <w:spacing w:before="160" w:after="80"/>
      </w:pPr>
      <w:r>
        <w:t>14.2 Performance characterization</w:t>
      </w:r>
    </w:p>
    <w:p>
      <w:pPr>
        <w:spacing w:after="100" w:line="269" w:lineRule="auto"/>
        <w:ind w:firstLine="312"/>
      </w:pPr>
      <w:r>
        <w:t>The benchmark is a warmed, single-process microbenchmark of deterministic policy evaluation. It excludes retrieval, network latency, model inference, token generation, connector I/O, persistence, human workflow latency, and execution of external actions. It therefore characterizes the reference evaluator only and must not be interpreted as end-to-end production performance.</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tblHeader w:val="true"/>
          <w:tblHeader w:val="true"/>
          <w:tblHeader w:val="true"/>
        </w:trPr>
        <w:tc>
          <w:tcPr>
            <w:tcW w:type="dxa" w:w="1701"/>
            <w:shd w:fill="E7E6E6"/>
            <w:vAlign w:val="center"/>
            <w:tcMar>
              <w:top w:w="80" w:type="dxa"/>
              <w:start w:w="80" w:type="dxa"/>
              <w:bottom w:w="80" w:type="dxa"/>
              <w:end w:w="80" w:type="dxa"/>
              <w:top w:w="80" w:type="dxa"/>
              <w:left w:w="80" w:type="dxa"/>
              <w:bottom w:w="80" w:type="dxa"/>
              <w:right w:w="80" w:type="dxa"/>
            </w:tcMar>
          </w:tcPr>
          <w:p>
            <w:pPr>
              <w:spacing w:after="0"/>
            </w:pPr>
            <w:r>
              <w:rPr>
                <w:b/>
                <w:sz w:val="16"/>
              </w:rPr>
              <w:t>Candidate objects</w:t>
            </w:r>
          </w:p>
        </w:tc>
        <w:tc>
          <w:tcPr>
            <w:tcW w:type="dxa" w:w="1134"/>
            <w:shd w:fill="E7E6E6"/>
            <w:vAlign w:val="center"/>
            <w:tcMar>
              <w:top w:w="80" w:type="dxa"/>
              <w:start w:w="80" w:type="dxa"/>
              <w:bottom w:w="80" w:type="dxa"/>
              <w:end w:w="80" w:type="dxa"/>
              <w:top w:w="80" w:type="dxa"/>
              <w:left w:w="80" w:type="dxa"/>
              <w:bottom w:w="80" w:type="dxa"/>
              <w:right w:w="80" w:type="dxa"/>
            </w:tcMar>
          </w:tcPr>
          <w:p>
            <w:pPr>
              <w:spacing w:after="0"/>
            </w:pPr>
            <w:r>
              <w:rPr>
                <w:b/>
                <w:sz w:val="16"/>
              </w:rPr>
              <w:t>Rules</w:t>
            </w:r>
          </w:p>
        </w:tc>
        <w:tc>
          <w:tcPr>
            <w:tcW w:type="dxa" w:w="1134"/>
            <w:shd w:fill="E7E6E6"/>
            <w:vAlign w:val="center"/>
            <w:tcMar>
              <w:top w:w="80" w:type="dxa"/>
              <w:start w:w="80" w:type="dxa"/>
              <w:bottom w:w="80" w:type="dxa"/>
              <w:end w:w="80" w:type="dxa"/>
              <w:top w:w="80" w:type="dxa"/>
              <w:left w:w="80" w:type="dxa"/>
              <w:bottom w:w="80" w:type="dxa"/>
              <w:right w:w="80" w:type="dxa"/>
            </w:tcMar>
          </w:tcPr>
          <w:p>
            <w:pPr>
              <w:spacing w:after="0"/>
            </w:pPr>
            <w:r>
              <w:rPr>
                <w:b/>
                <w:sz w:val="16"/>
              </w:rPr>
              <w:t>Runs</w:t>
            </w:r>
          </w:p>
        </w:tc>
        <w:tc>
          <w:tcPr>
            <w:tcW w:type="dxa" w:w="1701"/>
            <w:shd w:fill="E7E6E6"/>
            <w:vAlign w:val="center"/>
            <w:tcMar>
              <w:top w:w="80" w:type="dxa"/>
              <w:start w:w="80" w:type="dxa"/>
              <w:bottom w:w="80" w:type="dxa"/>
              <w:end w:w="80" w:type="dxa"/>
              <w:top w:w="80" w:type="dxa"/>
              <w:left w:w="80" w:type="dxa"/>
              <w:bottom w:w="80" w:type="dxa"/>
              <w:right w:w="80" w:type="dxa"/>
            </w:tcMar>
          </w:tcPr>
          <w:p>
            <w:pPr>
              <w:spacing w:after="0"/>
            </w:pPr>
            <w:r>
              <w:rPr>
                <w:b/>
                <w:sz w:val="16"/>
              </w:rPr>
              <w:t>Median ms</w:t>
            </w:r>
          </w:p>
        </w:tc>
        <w:tc>
          <w:tcPr>
            <w:tcW w:type="dxa" w:w="1701"/>
            <w:shd w:fill="E7E6E6"/>
            <w:vAlign w:val="center"/>
            <w:tcMar>
              <w:top w:w="80" w:type="dxa"/>
              <w:start w:w="80" w:type="dxa"/>
              <w:bottom w:w="80" w:type="dxa"/>
              <w:end w:w="80" w:type="dxa"/>
              <w:top w:w="80" w:type="dxa"/>
              <w:left w:w="80" w:type="dxa"/>
              <w:bottom w:w="80" w:type="dxa"/>
              <w:right w:w="80" w:type="dxa"/>
            </w:tcMar>
          </w:tcPr>
          <w:p>
            <w:pPr>
              <w:spacing w:after="0"/>
            </w:pPr>
            <w:r>
              <w:rPr>
                <w:b/>
                <w:sz w:val="16"/>
              </w:rPr>
              <w:t>IQR ms</w:t>
            </w:r>
          </w:p>
        </w:tc>
      </w:tr>
      <w:tr>
        <w:trPr>
          <w:cantSplit/>
        </w:trPr>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20</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0.60</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0.02</w:t>
            </w:r>
          </w:p>
        </w:tc>
      </w:tr>
      <w:tr>
        <w:trPr>
          <w:cantSplit/>
        </w:trPr>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20</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4.79</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0.16</w:t>
            </w:r>
          </w:p>
        </w:tc>
      </w:tr>
      <w:tr>
        <w:trPr>
          <w:cantSplit/>
        </w:trPr>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1,000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20</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48.35</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2.31</w:t>
            </w:r>
          </w:p>
        </w:tc>
      </w:tr>
      <w:tr>
        <w:trPr>
          <w:cantSplit/>
        </w:trPr>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5,000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10</w:t>
            </w:r>
          </w:p>
        </w:tc>
        <w:tc>
          <w:tcPr>
            <w:tcW w:type="dxa" w:w="113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12</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227.29</w:t>
            </w:r>
          </w:p>
        </w:tc>
        <w:tc>
          <w:tcPr>
            <w:tcW w:type="dxa" w:w="1701"/>
            <w:vAlign w:val="top"/>
            <w:tcMar>
              <w:top w:w="80" w:type="dxa"/>
              <w:start w:w="80" w:type="dxa"/>
              <w:bottom w:w="80" w:type="dxa"/>
              <w:end w:w="80" w:type="dxa"/>
              <w:top w:w="80" w:type="dxa"/>
              <w:left w:w="80" w:type="dxa"/>
              <w:bottom w:w="80" w:type="dxa"/>
              <w:right w:w="80" w:type="dxa"/>
            </w:tcMar>
          </w:tcPr>
          <w:p>
            <w:pPr>
              <w:spacing w:after="0" w:line="240" w:lineRule="auto"/>
            </w:pPr>
            <w:r>
              <w:rPr>
                <w:sz w:val="16"/>
              </w:rPr>
              <w:t>12.03</w:t>
            </w:r>
          </w:p>
        </w:tc>
      </w:tr>
    </w:tbl>
    <w:p>
      <w:pPr>
        <w:spacing w:after="20"/>
      </w:pPr>
      <w:r/>
    </w:p>
    <w:p>
      <w:pPr>
        <w:spacing w:after="100" w:line="269" w:lineRule="auto"/>
        <w:ind w:firstLine="312"/>
      </w:pPr>
      <w:r>
        <w:t>For 1,000 objects, the baseline rises from 36.10 ms with zero rules to 218.54 ms with 150 rules. Pipeline measurements over 1,000 objects report medians of 55.74 ms for INFORM, 57.59 ms for DECIDE, and 55.07 ms for ACT because the benchmark stops at the governance decision and does not execute the human workflow or external action. Detailed methodology and the rule-scaling table are reported in Appendix D.</w:t>
      </w:r>
    </w:p>
    <w:p>
      <w:pPr>
        <w:pStyle w:val="Heading2"/>
        <w:keepNext/>
        <w:spacing w:before="160" w:after="80"/>
      </w:pPr>
      <w:r>
        <w:t>14.3 Case coverage and external validity</w:t>
      </w:r>
    </w:p>
    <w:p>
      <w:pPr>
        <w:spacing w:after="100" w:line="269" w:lineRule="auto"/>
        <w:ind w:firstLine="312"/>
      </w:pPr>
      <w:r>
        <w:t>The reference cases cover the architecture's main semantic boundaries but do not establish sectoral completeness. They test regulatory evidence, geographic/model routing, contamination/derivative invalidation, internal-first research, low-confidence human validation, human decision ownership, autonomous API action, and human approval followed by action. This is broader than a single agentic use case, but it remains a designed test suite. External validity requires independent implementations, real organizational policy corpora, live provider/tool integrations, adversarial tests, and evaluation of whether different implementers interpret the same semantics consistently.</w:t>
      </w:r>
    </w:p>
    <w:p>
      <w:pPr>
        <w:pStyle w:val="Heading2"/>
      </w:pPr>
      <w:r>
        <w:t>14.4 Formative findings from the commercial implementation</w:t>
      </w:r>
    </w:p>
    <w:p>
      <w:pPr/>
      <w:r>
        <w:t>KEE development exposed cases in which the original 25-check suite permitted materially different runtime behavior despite reference conformance. Reproduced findings included downstream success after upstream failure, release of an empty analytical output, unauthenticated request assertions for grants or human roles, grant expiry evaluated without a trusted clock, non-atomic quota accounting, required approval bypass, mismatch between requested and policy-constrained actions, and audit events that contradicted or misordered the final decision. KEE corrected these behaviors locally. Because both KEE and ADGL were developed by GBSN Research, these are producer-authored negative tests rather than independent observations.</w:t>
      </w:r>
    </w:p>
    <w:tbl>
      <w:tblPr>
        <w:tblStyle w:val="TableGrid"/>
        <w:tblW w:type="auto" w:w="0"/>
        <w:tblLook w:firstColumn="1" w:firstRow="1" w:lastColumn="0" w:lastRow="0" w:noHBand="0" w:noVBand="1" w:val="04A0"/>
      </w:tblPr>
      <w:tblGrid>
        <w:gridCol w:w="3156"/>
        <w:gridCol w:w="3156"/>
        <w:gridCol w:w="3156"/>
      </w:tblGrid>
      <w:tr>
        <w:trPr>
          <w:tblHeader w:val="true"/>
        </w:trPr>
        <w:tc>
          <w:tcPr>
            <w:tcW w:type="dxa" w:w="3156"/>
          </w:tcPr>
          <w:p>
            <w:r>
              <w:rPr>
                <w:b/>
              </w:rPr>
              <w:t>Implementation finding</w:t>
            </w:r>
          </w:p>
        </w:tc>
        <w:tc>
          <w:tcPr>
            <w:tcW w:type="dxa" w:w="3156"/>
          </w:tcPr>
          <w:p>
            <w:r>
              <w:rPr>
                <w:b/>
              </w:rPr>
              <w:t>Portable implication</w:t>
            </w:r>
          </w:p>
        </w:tc>
        <w:tc>
          <w:tcPr>
            <w:tcW w:type="dxa" w:w="3156"/>
          </w:tcPr>
          <w:p>
            <w:r>
              <w:rPr>
                <w:b/>
              </w:rPr>
              <w:t>Toolkit 0.5.3 status</w:t>
            </w:r>
          </w:p>
        </w:tc>
      </w:tr>
      <w:tr>
        <w:tc>
          <w:tcPr>
            <w:tcW w:type="dxa" w:w="3156"/>
          </w:tcPr>
          <w:p>
            <w:r>
              <w:t>Upstream terminal state reached a successful-looking downstream outcome</w:t>
            </w:r>
          </w:p>
        </w:tc>
        <w:tc>
          <w:tcPr>
            <w:tcW w:type="dxa" w:w="3156"/>
          </w:tcPr>
          <w:p>
            <w:r>
              <w:t>Cross-stage reachability and fail-closed propagation</w:t>
            </w:r>
          </w:p>
        </w:tc>
        <w:tc>
          <w:tcPr>
            <w:tcW w:type="dxa" w:w="3156"/>
          </w:tcPr>
          <w:p>
            <w:r>
              <w:t>C26 candidate</w:t>
            </w:r>
          </w:p>
        </w:tc>
      </w:tr>
      <w:tr>
        <w:tc>
          <w:tcPr>
            <w:tcW w:type="dxa" w:w="3156"/>
          </w:tcPr>
          <w:p>
            <w:r>
              <w:t>Empty model output could satisfy the permissive result schema</w:t>
            </w:r>
          </w:p>
        </w:tc>
        <w:tc>
          <w:tcPr>
            <w:tcW w:type="dxa" w:w="3156"/>
          </w:tcPr>
          <w:p>
            <w:r>
              <w:t>Minimum AnalysisResult content contract</w:t>
            </w:r>
          </w:p>
        </w:tc>
        <w:tc>
          <w:tcPr>
            <w:tcW w:type="dxa" w:w="3156"/>
          </w:tcPr>
          <w:p>
            <w:r>
              <w:t>C27 candidate</w:t>
            </w:r>
          </w:p>
        </w:tc>
      </w:tr>
      <w:tr>
        <w:tc>
          <w:tcPr>
            <w:tcW w:type="dxa" w:w="3156"/>
          </w:tcPr>
          <w:p>
            <w:r>
              <w:t>ACT could be inferred or insufficiently authorized</w:t>
            </w:r>
          </w:p>
        </w:tc>
        <w:tc>
          <w:tcPr>
            <w:tcW w:type="dxa" w:w="3156"/>
          </w:tcPr>
          <w:p>
            <w:r>
              <w:t>Explicit machine-action authorization</w:t>
            </w:r>
          </w:p>
        </w:tc>
        <w:tc>
          <w:tcPr>
            <w:tcW w:type="dxa" w:w="3156"/>
          </w:tcPr>
          <w:p>
            <w:r>
              <w:t>C28 candidate</w:t>
            </w:r>
          </w:p>
        </w:tc>
      </w:tr>
      <w:tr>
        <w:tc>
          <w:tcPr>
            <w:tcW w:type="dxa" w:w="3156"/>
          </w:tcPr>
          <w:p>
            <w:r>
              <w:t>Grant expiry depended on untrusted request time</w:t>
            </w:r>
          </w:p>
        </w:tc>
        <w:tc>
          <w:tcPr>
            <w:tcW w:type="dxa" w:w="3156"/>
          </w:tcPr>
          <w:p>
            <w:r>
              <w:t>Trusted-time grant lifecycle</w:t>
            </w:r>
          </w:p>
        </w:tc>
        <w:tc>
          <w:tcPr>
            <w:tcW w:type="dxa" w:w="3156"/>
          </w:tcPr>
          <w:p>
            <w:r>
              <w:t>C29 candidate</w:t>
            </w:r>
          </w:p>
        </w:tc>
      </w:tr>
      <w:tr>
        <w:tc>
          <w:tcPr>
            <w:tcW w:type="dxa" w:w="3156"/>
          </w:tcPr>
          <w:p>
            <w:r>
              <w:t>Quota accounting was ambiguous and non-atomic</w:t>
            </w:r>
          </w:p>
        </w:tc>
        <w:tc>
          <w:tcPr>
            <w:tcW w:type="dxa" w:w="3156"/>
          </w:tcPr>
          <w:p>
            <w:r>
              <w:t>Defined authorization accounting and atomic consumption</w:t>
            </w:r>
          </w:p>
        </w:tc>
        <w:tc>
          <w:tcPr>
            <w:tcW w:type="dxa" w:w="3156"/>
          </w:tcPr>
          <w:p>
            <w:r>
              <w:t>C30 candidate</w:t>
            </w:r>
          </w:p>
        </w:tc>
      </w:tr>
      <w:tr>
        <w:tc>
          <w:tcPr>
            <w:tcW w:type="dxa" w:w="3156"/>
          </w:tcPr>
          <w:p>
            <w:r>
              <w:t>Concrete action value could escape intended constraints</w:t>
            </w:r>
          </w:p>
        </w:tc>
        <w:tc>
          <w:tcPr>
            <w:tcW w:type="dxa" w:w="3156"/>
          </w:tcPr>
          <w:p>
            <w:r>
              <w:t>Effective-action validation</w:t>
            </w:r>
          </w:p>
        </w:tc>
        <w:tc>
          <w:tcPr>
            <w:tcW w:type="dxa" w:w="3156"/>
          </w:tcPr>
          <w:p>
            <w:r>
              <w:t>C31 candidate</w:t>
            </w:r>
          </w:p>
        </w:tc>
      </w:tr>
      <w:tr>
        <w:tc>
          <w:tcPr>
            <w:tcW w:type="dxa" w:w="3156"/>
          </w:tcPr>
          <w:p>
            <w:r>
              <w:t>Capability grant could bypass mandatory human approval</w:t>
            </w:r>
          </w:p>
        </w:tc>
        <w:tc>
          <w:tcPr>
            <w:tcW w:type="dxa" w:w="3156"/>
          </w:tcPr>
          <w:p>
            <w:r>
              <w:t>Non-bypassable DECIDE-to-ACT gate</w:t>
            </w:r>
          </w:p>
        </w:tc>
        <w:tc>
          <w:tcPr>
            <w:tcW w:type="dxa" w:w="3156"/>
          </w:tcPr>
          <w:p>
            <w:r>
              <w:t>C32 candidate</w:t>
            </w:r>
          </w:p>
        </w:tc>
      </w:tr>
      <w:tr>
        <w:tc>
          <w:tcPr>
            <w:tcW w:type="dxa" w:w="3156"/>
          </w:tcPr>
          <w:p>
            <w:r>
              <w:t>Non-finite or negative numeric values were accepted</w:t>
            </w:r>
          </w:p>
        </w:tc>
        <w:tc>
          <w:tcPr>
            <w:tcW w:type="dxa" w:w="3156"/>
          </w:tcPr>
          <w:p>
            <w:r>
              <w:t>Finite numeric governance</w:t>
            </w:r>
          </w:p>
        </w:tc>
        <w:tc>
          <w:tcPr>
            <w:tcW w:type="dxa" w:w="3156"/>
          </w:tcPr>
          <w:p>
            <w:r>
              <w:t>C33 candidate</w:t>
            </w:r>
          </w:p>
        </w:tc>
      </w:tr>
      <w:tr>
        <w:tc>
          <w:tcPr>
            <w:tcW w:type="dxa" w:w="3156"/>
          </w:tcPr>
          <w:p>
            <w:r>
              <w:t>Capability grant scope and shape were incomplete</w:t>
            </w:r>
          </w:p>
        </w:tc>
        <w:tc>
          <w:tcPr>
            <w:tcW w:type="dxa" w:w="3156"/>
          </w:tcPr>
          <w:p>
            <w:r>
              <w:t>Strict case-scoped grant integrity</w:t>
            </w:r>
          </w:p>
        </w:tc>
        <w:tc>
          <w:tcPr>
            <w:tcW w:type="dxa" w:w="3156"/>
          </w:tcPr>
          <w:p>
            <w:r>
              <w:t>C34 candidate</w:t>
            </w:r>
          </w:p>
        </w:tc>
      </w:tr>
      <w:tr>
        <w:tc>
          <w:tcPr>
            <w:tcW w:type="dxa" w:w="3156"/>
          </w:tcPr>
          <w:p>
            <w:r>
              <w:t>Human decision resolution was underspecified</w:t>
            </w:r>
          </w:p>
        </w:tc>
        <w:tc>
          <w:tcPr>
            <w:tcW w:type="dxa" w:w="3156"/>
          </w:tcPr>
          <w:p>
            <w:r>
              <w:t>Explicit HumanDecision outcome</w:t>
            </w:r>
          </w:p>
        </w:tc>
        <w:tc>
          <w:tcPr>
            <w:tcW w:type="dxa" w:w="3156"/>
          </w:tcPr>
          <w:p>
            <w:r>
              <w:t>C35 candidate</w:t>
            </w:r>
          </w:p>
        </w:tc>
      </w:tr>
      <w:tr>
        <w:tc>
          <w:tcPr>
            <w:tcW w:type="dxa" w:w="3156"/>
          </w:tcPr>
          <w:p>
            <w:r>
              <w:t>Caller could vary policy-constrained action fields</w:t>
            </w:r>
          </w:p>
        </w:tc>
        <w:tc>
          <w:tcPr>
            <w:tcW w:type="dxa" w:w="3156"/>
          </w:tcPr>
          <w:p>
            <w:r>
              <w:t>Action target/template constraints</w:t>
            </w:r>
          </w:p>
        </w:tc>
        <w:tc>
          <w:tcPr>
            <w:tcW w:type="dxa" w:w="3156"/>
          </w:tcPr>
          <w:p>
            <w:r>
              <w:t>C36 candidate</w:t>
            </w:r>
          </w:p>
        </w:tc>
      </w:tr>
    </w:tbl>
    <w:p>
      <w:pPr/>
      <w:r>
        <w:t>These findings are evidence that implementation can falsify the sufficiency of a conformance profile even when it does not falsify the architectural hypothesis. C26-C36 remain candidate semantics because GBSN has not unilaterally promoted commercial-runtime behavior into Specification 0.3.0. A future normative revision should disposition each finding through the public change process and require interoperable test vectors.</w:t>
      </w:r>
    </w:p>
    <w:p>
      <w:pPr>
        <w:pStyle w:val="Heading1"/>
        <w:keepNext/>
        <w:spacing w:before="240" w:after="80"/>
      </w:pPr>
      <w:r>
        <w:t>15. Comparative Positioning</w:t>
      </w:r>
    </w:p>
    <w:p>
      <w:pPr>
        <w:spacing w:after="100" w:line="269" w:lineRule="auto"/>
        <w:ind w:firstLine="312"/>
      </w:pPr>
      <w:r>
        <w:t>ADGL should be evaluated as a proposed semantic composition rather than by asking whether another technology can express one of its individual rules. General-purpose policy systems can often encode ADGL constraints. Provenance systems can represent lineage. AI management frameworks can define organizational controls. Agent protocols can authorize transport. The proposed contribution is the common execution chain and its domain vocabulary.</w:t>
      </w:r>
    </w:p>
    <w:tbl>
      <w:tblPr>
        <w:tblStyle w:val="TableGrid"/>
        <w:tblW w:type="auto" w:w="0"/>
        <w:jc w:val="center"/>
        <w:tblLook w:firstColumn="1" w:firstRow="1" w:lastColumn="0" w:lastRow="0" w:noHBand="0" w:noVBand="1" w:val="04A0"/>
      </w:tblPr>
      <w:tblGrid>
        <w:gridCol w:w="3156"/>
        <w:gridCol w:w="3156"/>
        <w:gridCol w:w="3156"/>
      </w:tblGrid>
      <w:tr>
        <w:trPr>
          <w:tblHeader w:val="true"/>
          <w:tblHeader w:val="true"/>
          <w:tblHeader w:val="true"/>
        </w:trPr>
        <w:tc>
          <w:tcPr>
            <w:tcW w:type="dxa" w:w="2154"/>
            <w:shd w:fill="E7E6E6"/>
            <w:vAlign w:val="center"/>
            <w:tcMar>
              <w:top w:w="80" w:type="dxa"/>
              <w:start w:w="80" w:type="dxa"/>
              <w:bottom w:w="80" w:type="dxa"/>
              <w:end w:w="80" w:type="dxa"/>
              <w:top w:w="80" w:type="dxa"/>
              <w:left w:w="80" w:type="dxa"/>
              <w:bottom w:w="80" w:type="dxa"/>
              <w:right w:w="80" w:type="dxa"/>
            </w:tcMar>
          </w:tcPr>
          <w:p>
            <w:pPr>
              <w:spacing w:after="0"/>
            </w:pPr>
            <w:r>
              <w:rPr>
                <w:b/>
                <w:sz w:val="15"/>
              </w:rPr>
              <w:t>Mechanism</w:t>
            </w:r>
          </w:p>
        </w:tc>
        <w:tc>
          <w:tcPr>
            <w:tcW w:type="dxa" w:w="3288"/>
            <w:shd w:fill="E7E6E6"/>
            <w:vAlign w:val="center"/>
            <w:tcMar>
              <w:top w:w="80" w:type="dxa"/>
              <w:start w:w="80" w:type="dxa"/>
              <w:bottom w:w="80" w:type="dxa"/>
              <w:end w:w="80" w:type="dxa"/>
              <w:top w:w="80" w:type="dxa"/>
              <w:left w:w="80" w:type="dxa"/>
              <w:bottom w:w="80" w:type="dxa"/>
              <w:right w:w="80" w:type="dxa"/>
            </w:tcMar>
          </w:tcPr>
          <w:p>
            <w:pPr>
              <w:spacing w:after="0"/>
            </w:pPr>
            <w:r>
              <w:rPr>
                <w:b/>
                <w:sz w:val="15"/>
              </w:rPr>
              <w:t>Primary object</w:t>
            </w:r>
          </w:p>
        </w:tc>
        <w:tc>
          <w:tcPr>
            <w:tcW w:type="dxa" w:w="3685"/>
            <w:shd w:fill="E7E6E6"/>
            <w:vAlign w:val="center"/>
            <w:tcMar>
              <w:top w:w="80" w:type="dxa"/>
              <w:start w:w="80" w:type="dxa"/>
              <w:bottom w:w="80" w:type="dxa"/>
              <w:end w:w="80" w:type="dxa"/>
              <w:top w:w="80" w:type="dxa"/>
              <w:left w:w="80" w:type="dxa"/>
              <w:bottom w:w="80" w:type="dxa"/>
              <w:right w:w="80" w:type="dxa"/>
            </w:tcMar>
          </w:tcPr>
          <w:p>
            <w:pPr>
              <w:spacing w:after="0"/>
            </w:pPr>
            <w:r>
              <w:rPr>
                <w:b/>
                <w:sz w:val="15"/>
              </w:rPr>
              <w:t>Relationship to ADGL</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IAM / XACML / OPA / Cedar</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Principal/resource/action authorization and general policy evaluation.</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ADGL can consume or compile to these mechanisms; it adds evidence/analysis/consequence semantics.</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UCON / information-flow control</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Post-access conditions, obligations, continuity, information propagation.</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Strong prior art for persistent control; ADGL specializes to AI/analytical execution stages.</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ODRL</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Permissions, prohibitions, duties, constraints, profiles.</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Potential mapping/profile target; ADGL adds stage-specific evidence, analysis, decision-right vocabulary.</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PROV</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Entity/activity/agent provenance and derivation.</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Complementary lineage substrate; ADGL assigns governance meaning to provenance.</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Datasheets / data statements / model cards</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Transparency about data/model origin, intended use, performance, and limitations.</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Documentation feeds policy context; ADGL makes runtime case decisions.</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NIST AI RMF / ISO 42001 / EU AI Act</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Risk management, management-system requirements, and legal obligations.</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ADGL may implement/evidence selected controls but does not establish compliance.</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MCP / agent identity work</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Tool/resource interoperability and transport/identity authorization.</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Complementary enforcement prerequisites for ACT; ADGL governs whether the result may cause the action.</w:t>
            </w:r>
          </w:p>
        </w:tc>
      </w:tr>
      <w:tr>
        <w:trPr>
          <w:cantSplit/>
        </w:trPr>
        <w:tc>
          <w:tcPr>
            <w:tcW w:type="dxa" w:w="2154"/>
            <w:vAlign w:val="top"/>
            <w:tcMar>
              <w:top w:w="80" w:type="dxa"/>
              <w:start w:w="80" w:type="dxa"/>
              <w:bottom w:w="80" w:type="dxa"/>
              <w:end w:w="80" w:type="dxa"/>
              <w:top w:w="80" w:type="dxa"/>
              <w:left w:w="80" w:type="dxa"/>
              <w:bottom w:w="80" w:type="dxa"/>
              <w:right w:w="80" w:type="dxa"/>
            </w:tcMar>
          </w:tcPr>
          <w:p>
            <w:pPr>
              <w:spacing w:after="0" w:line="240" w:lineRule="auto"/>
            </w:pPr>
            <w:r>
              <w:rPr>
                <w:sz w:val="15"/>
              </w:rPr>
              <w:t>Policy Cards / AgentSpec / path- and guard-based agent governance</w:t>
            </w:r>
          </w:p>
        </w:tc>
        <w:tc>
          <w:tcPr>
            <w:tcW w:type="dxa" w:w="3288"/>
            <w:vAlign w:val="top"/>
            <w:tcMar>
              <w:top w:w="80" w:type="dxa"/>
              <w:start w:w="80" w:type="dxa"/>
              <w:bottom w:w="80" w:type="dxa"/>
              <w:end w:w="80" w:type="dxa"/>
              <w:top w:w="80" w:type="dxa"/>
              <w:left w:w="80" w:type="dxa"/>
              <w:bottom w:w="80" w:type="dxa"/>
              <w:right w:w="80" w:type="dxa"/>
            </w:tcMar>
          </w:tcPr>
          <w:p>
            <w:pPr>
              <w:spacing w:after="0" w:line="240" w:lineRule="auto"/>
            </w:pPr>
            <w:r>
              <w:rPr>
                <w:sz w:val="15"/>
              </w:rPr>
              <w:t>Machine-readable runtime constraints, trajectory policies, verification gates, and action/tool guards for autonomous agents.</w:t>
            </w:r>
          </w:p>
        </w:tc>
        <w:tc>
          <w:tcPr>
            <w:tcW w:type="dxa" w:w="3685"/>
            <w:vAlign w:val="top"/>
            <w:tcMar>
              <w:top w:w="80" w:type="dxa"/>
              <w:start w:w="80" w:type="dxa"/>
              <w:bottom w:w="80" w:type="dxa"/>
              <w:end w:w="80" w:type="dxa"/>
              <w:top w:w="80" w:type="dxa"/>
              <w:left w:w="80" w:type="dxa"/>
              <w:bottom w:w="80" w:type="dxa"/>
              <w:right w:w="80" w:type="dxa"/>
            </w:tcMar>
          </w:tcPr>
          <w:p>
            <w:pPr>
              <w:spacing w:after="0" w:line="240" w:lineRule="auto"/>
            </w:pPr>
            <w:r>
              <w:rPr>
                <w:sz w:val="15"/>
              </w:rPr>
              <w:t>Close emerging prior art for runtime governance; ADGL is broader across Knowledge-Analysis-Consequence and INFORM/DECIDE/ACT, and should map to rather than duplicate these mechanisms.</w:t>
            </w:r>
          </w:p>
        </w:tc>
      </w:tr>
    </w:tbl>
    <w:p>
      <w:pPr>
        <w:spacing w:after="20"/>
      </w:pPr>
      <w:r/>
    </w:p>
    <w:p>
      <w:r/>
    </w:p>
    <w:p>
      <w:pPr/>
      <w:r>
        <w:t>A decisive next experiment is a full-case mapping from ADGL to an established substrate such as Rego/OPA or ODRL plus PROV. The evaluation should report what maps directly, which conventions must be added, what information is lost, and whether portable stage state and conformance semantics survive the mapping. Until that experiment or an independent implementation is completed, compositional usefulness remains a hypothesis rather than a demonstrated interoperability advantage.</w:t>
      </w:r>
    </w:p>
    <w:p>
      <w:pPr>
        <w:spacing w:after="100" w:line="269" w:lineRule="auto"/>
        <w:ind w:firstLine="312"/>
      </w:pPr>
      <w:r>
        <w:t>The novelty boundary is therefore intentionally conservative. ADGL does not claim to invent allow/deny policy, provenance, obligations, human review, action authorization, or audit. Its hypothesis is that standardizing how those concepts compose across knowledge influence, analytical computation, and consequence rights can improve interoperability and conformance across heterogeneous AI-enabled systems. Appendix E develops the comparison in greater depth.</w:t>
      </w:r>
    </w:p>
    <w:p>
      <w:pPr>
        <w:pStyle w:val="Heading1"/>
        <w:keepNext/>
        <w:spacing w:before="240" w:after="80"/>
      </w:pPr>
      <w:r>
        <w:t>16. Security and Enforcement Boundaries</w:t>
      </w:r>
    </w:p>
    <w:p>
      <w:r/>
    </w:p>
    <w:p>
      <w:pPr/>
      <w:r>
        <w:t>The relevant threat actors and failure sources include malicious knowledge sources, compromised retrievers or models, malicious users, spoofed identities, forged or replayed capability grants, compromised policy engines or executors, tampered audit stores, and infrastructure that violates declared regional or sandbox controls. ADGL can express governance requirements and, when trustworthy evidence is available, record or block on their satisfaction. It relies on external identity, network, sandbox, cryptographic, policy-enforcement, and monitoring mechanisms to make those requirements effective. It cannot protect against a compromised policy decision point, executor, or audit substrate that can falsify the evidence on which the semantic layer relies.</w:t>
      </w:r>
    </w:p>
    <w:p>
      <w:r/>
    </w:p>
    <w:p>
      <w:pPr>
        <w:pStyle w:val="Heading2"/>
      </w:pPr>
      <w:r>
        <w:t>16.1 Enforcement boundary</w:t>
      </w:r>
    </w:p>
    <w:p>
      <w:r/>
    </w:p>
    <w:p>
      <w:pPr>
        <w:pStyle w:val="Heading2"/>
      </w:pPr>
      <w:r>
        <w:t>16.2 Threat model</w:t>
      </w:r>
    </w:p>
    <w:p>
      <w:pPr>
        <w:spacing w:after="100" w:line="269" w:lineRule="auto"/>
        <w:ind w:firstLine="312"/>
      </w:pPr>
      <w:r>
        <w:t>A semantic policy layer cannot physically enforce every condition it expresses. DENY_INTERNET requires network enforcement. REQUIRE_SANDBOX requires an actual containment mechanism. REQUIRE_REGION requires infrastructure evidence that processing occurred in an approved location. NO_FALLBACK requires routing and provider controls that prevent an unauthorized alternative endpoint. ACT authorization requires the downstream executor to reject calls without a valid capability. Identity assertions require trusted IAM or workload-identity infrastructure. ADGL defines the governance condition and expected audit record; enforcement belongs to the mechanism capable of controlling the resource.</w:t>
      </w:r>
    </w:p>
    <w:p>
      <w:pPr>
        <w:spacing w:after="100" w:line="269" w:lineRule="auto"/>
        <w:ind w:firstLine="312"/>
      </w:pPr>
      <w:r>
        <w:t>This distinction is especially important for agentic systems. NIST's current agent work focuses on identity, authentication, authorization, secure interoperability, and prompt-injection concerns [26], [27]. MCP similarly distinguishes transport authorization from application semantics [25]. ADGL should therefore be deployed as one layer in a defense-in-depth architecture, not treated as a security boundary by syntax alone. AgentSpec, path-based runtime governance, Safety Sidecar, and deterministic tool guards provide examples of complementary enforcement strategies focused more directly on agent trajectories or action release [34]-[37].</w:t>
      </w:r>
    </w:p>
    <w:p>
      <w:pPr>
        <w:spacing w:after="100" w:line="269" w:lineRule="auto"/>
        <w:ind w:firstLine="312"/>
      </w:pPr>
      <w:r>
        <w:t>The OpenAI/Hugging Face incident [32] illustrates why audit should record both policy requirements and observed enforcement state. A rule that says an evaluation is sandboxed is not sufficient evidence that the sandbox cannot be escaped; conversely, a sandbox does not determine whether a retrieved source should count as governing evidence or whether an analysis should be allowed to trigger a financial action. These are complementary control planes.</w:t>
      </w:r>
    </w:p>
    <w:p>
      <w:pPr>
        <w:pStyle w:val="Heading1"/>
        <w:keepNext/>
        <w:spacing w:before="240" w:after="80"/>
      </w:pPr>
      <w:r>
        <w:t>17. Limitations and Open Research Questions</w:t>
      </w:r>
    </w:p>
    <w:p>
      <w:pPr>
        <w:spacing w:after="100" w:line="269" w:lineRule="auto"/>
        <w:ind w:firstLine="312"/>
      </w:pPr>
      <w:r>
        <w:t>ADGL remains a working research specification. It does not determine objective truth, guarantee model correctness, replace cybersecurity, discover every unauthorized AI system, establish legal compliance, or certify that human oversight is meaningful. A policy may state a requirement that the surrounding infrastructure fails to enforce. An audit may reconstruct what the system recorded while still depending on the integrity of the recording mechanism.</w:t>
      </w:r>
    </w:p>
    <w:p>
      <w:pPr>
        <w:spacing w:after="100" w:line="269" w:lineRule="auto"/>
        <w:ind w:firstLine="312"/>
      </w:pPr>
      <w:r>
        <w:t>Analysis Governance is the least mature stage. Open questions include the appropriate normative vocabulary for analytical methods, how confidence should be sourced and calibrated, how evidence-to-claim references should be represented, how prompt/instruction boundaries should be modeled, when contradictions must be preserved, and how domain methods should extend the portable core without fragmenting interoperability. Over-standardizing methods could make the architecture brittle; under-standardizing them could make conformance superficial.</w:t>
      </w:r>
    </w:p>
    <w:p>
      <w:pPr>
        <w:spacing w:after="100" w:line="269" w:lineRule="auto"/>
        <w:ind w:firstLine="312"/>
      </w:pPr>
      <w:r>
        <w:t>Human oversight also requires deeper treatment. A DECIDE state only establishes that a human or accountable role owns the next decision; it does not guarantee that the person has time, competence, information, or genuine discretion. Human-factors research on out-of-the-loop performance cautions against assuming that inserting a human checkpoint automatically restores meaningful control [21], [22]. Future profiles should therefore distinguish nominal approval from decision conditions such as evidence visibility, authority, workload, time budget, and ability to modify or reject the system recommendation.</w:t>
      </w:r>
    </w:p>
    <w:p>
      <w:pPr>
        <w:spacing w:after="100" w:line="269" w:lineRule="auto"/>
        <w:ind w:firstLine="312"/>
      </w:pPr>
      <w:r>
        <w:t>The current portability evidence is limited. One conformance check uses a mini-interpreter within the same research project; this is not independent third-party validation. The next major research milestone should be at least one independent implementation, followed by third-party cross-implementation test vectors, formal mapping to one or more general-purpose policy languages, and adversarial experiments that include poisoned retrieval, identity spoofing, grant misuse, stale policy, replay, and action-execution failure.</w:t>
      </w:r>
    </w:p>
    <w:p>
      <w:pPr>
        <w:spacing w:after="100" w:line="269" w:lineRule="auto"/>
        <w:ind w:firstLine="312"/>
      </w:pPr>
      <w:r>
        <w:t>Finally, the boundary between semantic standard and implementation product must remain explicit. Commercial or production runtimes may add connectors, persistent audit stores, visual policy tooling, enterprise identity integration, and action executors. Those features can implement ADGL without becoming normative requirements of the open semantic specification.</w:t>
      </w:r>
    </w:p>
    <w:p>
      <w:pPr>
        <w:pStyle w:val="Heading1"/>
        <w:keepNext/>
        <w:spacing w:before="240" w:after="80"/>
      </w:pPr>
      <w:r>
        <w:t>18. Standardization Implications</w:t>
      </w:r>
    </w:p>
    <w:p>
      <w:r/>
    </w:p>
    <w:p>
      <w:pPr/>
      <w:r>
        <w:t>ADGL is a GBSN Research standards proposal, not a stakeholder-ratified standard. Broad use is an intended outcome, but standards readiness has not been demonstrated. Before a formal standardization claim, the work should obtain independent implementer feedback, practitioner or workshop review, domain review across multiple sectors, mappings to established standards, and a documented disposition of stakeholder objections.</w:t>
      </w:r>
    </w:p>
    <w:p>
      <w:pPr>
        <w:spacing w:after="100" w:line="269" w:lineRule="auto"/>
        <w:ind w:firstLine="312"/>
      </w:pPr>
      <w:r>
        <w:t>If ADGL advances toward formal standardization, the semantic core should remain small and technology-neutral. A standards effort should focus on vocabulary, state transitions, conformance fixtures, versioning, profile composition, and mappings to established mechanisms. It should avoid mandating a specific model provider, vector store, database, orchestration framework, cloud, or policy engine.</w:t>
      </w:r>
    </w:p>
    <w:p>
      <w:pPr>
        <w:spacing w:after="100" w:line="269" w:lineRule="auto"/>
        <w:ind w:firstLine="312"/>
      </w:pPr>
      <w:r>
        <w:t>Interoperability work should be prioritized over reinvention. Candidate work items include: an ODRL profile or mapping for permissions/duties/constraints; compilation subsets for XACML, Rego, or Cedar; PROV mappings for KnowledgeObjects, Analysis activities, results, decisions, and actions; MCP integration guidance for resource/tool boundaries; identity binding profiles for agent and workload identities; and a conformance vocabulary that distinguishes normative checks from experimental/candidate checks.</w:t>
      </w:r>
    </w:p>
    <w:p>
      <w:pPr>
        <w:spacing w:after="100" w:line="269" w:lineRule="auto"/>
        <w:ind w:firstLine="312"/>
      </w:pPr>
      <w:r>
        <w:t>Standardization should also preserve the architecture's scope discipline. Agent identity and authorization are important, but agentic execution is one ACT pathway. Data governance and informational analysis remain first-class. A standard that collapses ADGL into agent security would lose the broader contribution; a standard that ignores action authorization would fail to address the execution boundary that motivated Consequence Governance.</w:t>
      </w:r>
    </w:p>
    <w:p>
      <w:r/>
    </w:p>
    <w:p>
      <w:pPr>
        <w:pStyle w:val="Heading2"/>
      </w:pPr>
      <w:r>
        <w:t>18.1 Artifact Availability and Reproducibility</w:t>
      </w:r>
    </w:p>
    <w:p>
      <w:pPr/>
      <w:r>
        <w:t>Public reproducibility artifacts comprise: (1) the Academic Research and Specification package, including the main paper and Appendices A-E; (2) the separately packaged Reference Toolkit 0.5.3; (3) the GitHub public repository package with browsable research sources, schemas, eight constructed cases, tests, conformance runner, contribution templates, and CI configuration; and (4) a Hugging Face dataset and Gradio Space exposing the eight cases for interactive execution. During preparation of this revision, a fresh run from the supplied public archives reproduced 20/20 public software tests, 25/25 published normative checks, and 11/11 candidate checks. KEE is unpublished proprietary source and is not included in the reproducibility claim; a separate source-level run reproduced 28/28 KEE tests and the embedded Toolkit 0.5.0 baseline’s 25/25 checks. These reruns confirm packaged execution only and are not independent semantic validation. Exact URLs, DOIs, repository commit/tag, dataset revision, and Space revision: [INSERT CAMERA-READY ARTIFACT IDENTIFIERS].</w:t>
      </w:r>
      <w:r>
        <w:t xml:space="preserve"> ADGL technical and specification enquiries: aidatagovernance@gbsnresearch.com.</w:t>
      </w:r>
    </w:p>
    <w:p>
      <w:pPr>
        <w:pStyle w:val="Heading2"/>
      </w:pPr>
      <w:r>
        <w:t>18.2 Competing Interests, Funding, and Commercialization Disclosure</w:t>
      </w:r>
    </w:p>
    <w:p>
      <w:r>
        <w:t>GBSN Research designed ADGL, authors and maintains the proposed open specification and Reference Toolkit, and develops KEE, a separate proprietary commercial runtime that implements and extends parts of ADGL. GBSN Research therefore has a direct financial and reputational interest in ADGL adoption and perceived value. The specification, cases, conformance suite, Reference Toolkit, KEE implementation, internal adversarial reviews, and present evaluation were all produced or commissioned within the same organization; none constitutes independent validation. KEE development informed candidate checks C26-C36, but KEE-specific behavior is non-normative unless accepted into a future public specification. KEE is not required for ADGL implementation or conformance. The public specification and documentation are distributed under CC BY 4.0 and the Reference Toolkit under Apache License 2.0. Research and artifact development were funded and performed by GBSN Research unless otherwise stated. Named individual authors, affiliations, ORCID identifiers, and CRediT contributions must be supplied before submission to any venue requiring personal scholarly accountability.</w:t>
      </w:r>
    </w:p>
    <w:p>
      <w:pPr/>
      <w:r>
        <w:t>GBSN Research develops ADGL as a proposed standard intended for broad use and also develops a commercial product and related services that implement or may implement ADGL. GBSN Research therefore has a direct commercial interest in the visibility, adoption, and perceived value of the architecture. The specification, reference cases, conformance suite, and reference implementation evaluated in this paper were created by GBSN Research; the evaluation is not independent. The research and artifact development were funded and performed by GBSN Research unless otherwise stated. The proposed semantic standard is intended to remain implementable without purchasing GBSN's commercial product, and no commercial product should be treated as the normative definition of conformance. Named individual contributors and their roles should be identified in any venue that requires personal scholarly accountability.</w:t>
      </w:r>
    </w:p>
    <w:p>
      <w:r/>
    </w:p>
    <w:p>
      <w:pPr>
        <w:pStyle w:val="Heading2"/>
      </w:pPr>
      <w:r>
        <w:t>18.3 Artifact Version Matrix</w:t>
      </w:r>
    </w:p>
    <w:tbl>
      <w:tblPr>
        <w:tblStyle w:val="TableGrid"/>
        <w:tblW w:type="auto" w:w="0"/>
        <w:tblLook w:firstColumn="1" w:firstRow="1" w:lastColumn="0" w:lastRow="0" w:noHBand="0" w:noVBand="1" w:val="04A0"/>
      </w:tblPr>
      <w:tblGrid>
        <w:gridCol w:w="3156"/>
        <w:gridCol w:w="3156"/>
        <w:gridCol w:w="3156"/>
      </w:tblGrid>
      <w:tr>
        <w:trPr>
          <w:tblHeader w:val="true"/>
          <w:tblHeader w:val="true"/>
        </w:trPr>
        <w:tc>
          <w:tcPr>
            <w:tcW w:type="dxa" w:w="3156"/>
            <w:tcMar>
              <w:top w:w="80" w:type="dxa"/>
              <w:left w:w="80" w:type="dxa"/>
              <w:bottom w:w="80" w:type="dxa"/>
              <w:right w:w="80" w:type="dxa"/>
            </w:tcMar>
          </w:tcPr>
          <w:p>
            <w:r>
              <w:rPr>
                <w:b/>
              </w:rPr>
              <w:t>Artifact</w:t>
            </w:r>
          </w:p>
        </w:tc>
        <w:tc>
          <w:tcPr>
            <w:tcW w:type="dxa" w:w="3156"/>
            <w:tcMar>
              <w:top w:w="80" w:type="dxa"/>
              <w:left w:w="80" w:type="dxa"/>
              <w:bottom w:w="80" w:type="dxa"/>
              <w:right w:w="80" w:type="dxa"/>
            </w:tcMar>
          </w:tcPr>
          <w:p>
            <w:r>
              <w:rPr>
                <w:b/>
              </w:rPr>
              <w:t>Version represented</w:t>
            </w:r>
          </w:p>
        </w:tc>
        <w:tc>
          <w:tcPr>
            <w:tcW w:type="dxa" w:w="3156"/>
            <w:tcMar>
              <w:top w:w="80" w:type="dxa"/>
              <w:left w:w="80" w:type="dxa"/>
              <w:bottom w:w="80" w:type="dxa"/>
              <w:right w:w="80" w:type="dxa"/>
            </w:tcMar>
          </w:tcPr>
          <w:p>
            <w:r>
              <w:rPr>
                <w:b/>
              </w:rPr>
              <w:t>Role</w:t>
            </w:r>
          </w:p>
        </w:tc>
      </w:tr>
      <w:tr>
        <w:tc>
          <w:tcPr>
            <w:tcW w:type="dxa" w:w="3156"/>
            <w:tcMar>
              <w:top w:w="80" w:type="dxa"/>
              <w:left w:w="80" w:type="dxa"/>
              <w:bottom w:w="80" w:type="dxa"/>
              <w:right w:w="80" w:type="dxa"/>
            </w:tcMar>
          </w:tcPr>
          <w:p>
            <w:r>
              <w:t>Academic preprint</w:t>
            </w:r>
          </w:p>
        </w:tc>
        <w:tc>
          <w:tcPr>
            <w:tcW w:type="dxa" w:w="3156"/>
            <w:tcMar>
              <w:top w:w="80" w:type="dxa"/>
              <w:left w:w="80" w:type="dxa"/>
              <w:bottom w:w="80" w:type="dxa"/>
              <w:right w:w="80" w:type="dxa"/>
            </w:tcMar>
          </w:tcPr>
          <w:p>
            <w:r>
              <w:t>v1.2 (submission draft)</w:t>
            </w:r>
          </w:p>
        </w:tc>
        <w:tc>
          <w:tcPr>
            <w:tcW w:type="dxa" w:w="3156"/>
            <w:tcMar>
              <w:top w:w="80" w:type="dxa"/>
              <w:left w:w="80" w:type="dxa"/>
              <w:bottom w:w="80" w:type="dxa"/>
              <w:right w:w="80" w:type="dxa"/>
            </w:tcMar>
          </w:tcPr>
          <w:p>
            <w:r>
              <w:t>Scholarly argument and evaluation scope</w:t>
            </w:r>
          </w:p>
        </w:tc>
      </w:tr>
      <w:tr>
        <w:tc>
          <w:tcPr>
            <w:tcW w:type="dxa" w:w="3156"/>
            <w:tcMar>
              <w:top w:w="80" w:type="dxa"/>
              <w:left w:w="80" w:type="dxa"/>
              <w:bottom w:w="80" w:type="dxa"/>
              <w:right w:w="80" w:type="dxa"/>
            </w:tcMar>
          </w:tcPr>
          <w:p>
            <w:r>
              <w:t>Research release</w:t>
            </w:r>
          </w:p>
        </w:tc>
        <w:tc>
          <w:tcPr>
            <w:tcW w:type="dxa" w:w="3156"/>
            <w:tcMar>
              <w:top w:w="80" w:type="dxa"/>
              <w:left w:w="80" w:type="dxa"/>
              <w:bottom w:w="80" w:type="dxa"/>
              <w:right w:w="80" w:type="dxa"/>
            </w:tcMar>
          </w:tcPr>
          <w:p>
            <w:r>
              <w:t>0.4.3</w:t>
            </w:r>
          </w:p>
        </w:tc>
        <w:tc>
          <w:tcPr>
            <w:tcW w:type="dxa" w:w="3156"/>
            <w:tcMar>
              <w:top w:w="80" w:type="dxa"/>
              <w:left w:w="80" w:type="dxa"/>
              <w:bottom w:w="80" w:type="dxa"/>
              <w:right w:w="80" w:type="dxa"/>
            </w:tcMar>
          </w:tcPr>
          <w:p>
            <w:r>
              <w:t>Coordinated research package</w:t>
            </w:r>
          </w:p>
        </w:tc>
      </w:tr>
      <w:tr>
        <w:tc>
          <w:tcPr>
            <w:tcW w:type="dxa" w:w="3156"/>
            <w:tcMar>
              <w:top w:w="80" w:type="dxa"/>
              <w:left w:w="80" w:type="dxa"/>
              <w:bottom w:w="80" w:type="dxa"/>
              <w:right w:w="80" w:type="dxa"/>
            </w:tcMar>
          </w:tcPr>
          <w:p>
            <w:r>
              <w:t>Core semantic specification</w:t>
            </w:r>
          </w:p>
        </w:tc>
        <w:tc>
          <w:tcPr>
            <w:tcW w:type="dxa" w:w="3156"/>
            <w:tcMar>
              <w:top w:w="80" w:type="dxa"/>
              <w:left w:w="80" w:type="dxa"/>
              <w:bottom w:w="80" w:type="dxa"/>
              <w:right w:w="80" w:type="dxa"/>
            </w:tcMar>
          </w:tcPr>
          <w:p>
            <w:r>
              <w:t>0.3.0</w:t>
            </w:r>
          </w:p>
        </w:tc>
        <w:tc>
          <w:tcPr>
            <w:tcW w:type="dxa" w:w="3156"/>
            <w:tcMar>
              <w:top w:w="80" w:type="dxa"/>
              <w:left w:w="80" w:type="dxa"/>
              <w:bottom w:w="80" w:type="dxa"/>
              <w:right w:w="80" w:type="dxa"/>
            </w:tcMar>
          </w:tcPr>
          <w:p>
            <w:r>
              <w:t>Normative working semantics</w:t>
            </w:r>
          </w:p>
        </w:tc>
      </w:tr>
      <w:tr>
        <w:tc>
          <w:tcPr>
            <w:tcW w:type="dxa" w:w="3156"/>
            <w:tcMar>
              <w:top w:w="80" w:type="dxa"/>
              <w:left w:w="80" w:type="dxa"/>
              <w:bottom w:w="80" w:type="dxa"/>
              <w:right w:w="80" w:type="dxa"/>
            </w:tcMar>
          </w:tcPr>
          <w:p>
            <w:r>
              <w:t>Reference Toolkit evaluation baseline</w:t>
            </w:r>
          </w:p>
        </w:tc>
        <w:tc>
          <w:tcPr>
            <w:tcW w:type="dxa" w:w="3156"/>
            <w:tcMar>
              <w:top w:w="80" w:type="dxa"/>
              <w:left w:w="80" w:type="dxa"/>
              <w:bottom w:w="80" w:type="dxa"/>
              <w:right w:w="80" w:type="dxa"/>
            </w:tcMar>
          </w:tcPr>
          <w:p>
            <w:r>
              <w:t>0.5.0</w:t>
            </w:r>
          </w:p>
        </w:tc>
        <w:tc>
          <w:tcPr>
            <w:tcW w:type="dxa" w:w="3156"/>
            <w:tcMar>
              <w:top w:w="80" w:type="dxa"/>
              <w:left w:w="80" w:type="dxa"/>
              <w:bottom w:w="80" w:type="dxa"/>
              <w:right w:w="80" w:type="dxa"/>
            </w:tcMar>
          </w:tcPr>
          <w:p>
            <w:r>
              <w:t>25 published normative checks</w:t>
            </w:r>
          </w:p>
        </w:tc>
      </w:tr>
      <w:tr>
        <w:tc>
          <w:tcPr>
            <w:tcW w:type="dxa" w:w="3156"/>
            <w:tcMar>
              <w:top w:w="80" w:type="dxa"/>
              <w:left w:w="80" w:type="dxa"/>
              <w:bottom w:w="80" w:type="dxa"/>
              <w:right w:w="80" w:type="dxa"/>
            </w:tcMar>
          </w:tcPr>
          <w:p>
            <w:r>
              <w:t>Current Reference Toolkit</w:t>
            </w:r>
          </w:p>
        </w:tc>
        <w:tc>
          <w:tcPr>
            <w:tcW w:type="dxa" w:w="3156"/>
            <w:tcMar>
              <w:top w:w="80" w:type="dxa"/>
              <w:left w:w="80" w:type="dxa"/>
              <w:bottom w:w="80" w:type="dxa"/>
              <w:right w:w="80" w:type="dxa"/>
            </w:tcMar>
          </w:tcPr>
          <w:p>
            <w:r>
              <w:t>0.5.3</w:t>
            </w:r>
          </w:p>
        </w:tc>
        <w:tc>
          <w:tcPr>
            <w:tcW w:type="dxa" w:w="3156"/>
            <w:tcMar>
              <w:top w:w="80" w:type="dxa"/>
              <w:left w:w="80" w:type="dxa"/>
              <w:bottom w:w="80" w:type="dxa"/>
              <w:right w:w="80" w:type="dxa"/>
            </w:tcMar>
          </w:tcPr>
          <w:p>
            <w:r>
              <w:t>Baseline plus 11 candidate hardening checks</w:t>
            </w:r>
          </w:p>
        </w:tc>
      </w:tr>
      <w:tr>
        <w:tc>
          <w:tcPr>
            <w:tcW w:type="dxa" w:w="3156"/>
          </w:tcPr>
          <w:p>
            <w:r>
              <w:t>GitHub public repository package</w:t>
            </w:r>
          </w:p>
        </w:tc>
        <w:tc>
          <w:tcPr>
            <w:tcW w:type="dxa" w:w="3156"/>
          </w:tcPr>
          <w:p>
            <w:r>
              <w:t>0.4.3 reviewed; synchronize to 0.4.4</w:t>
            </w:r>
          </w:p>
        </w:tc>
        <w:tc>
          <w:tcPr>
            <w:tcW w:type="dxa" w:w="3156"/>
          </w:tcPr>
          <w:p>
            <w:r>
              <w:t>Public development and browsable research sources</w:t>
            </w:r>
          </w:p>
        </w:tc>
      </w:tr>
      <w:tr>
        <w:tc>
          <w:tcPr>
            <w:tcW w:type="dxa" w:w="3156"/>
          </w:tcPr>
          <w:p>
            <w:r>
              <w:t>Hugging Face dataset and Space</w:t>
            </w:r>
          </w:p>
        </w:tc>
        <w:tc>
          <w:tcPr>
            <w:tcW w:type="dxa" w:w="3156"/>
          </w:tcPr>
          <w:p>
            <w:r>
              <w:t>Public revision to be cited</w:t>
            </w:r>
          </w:p>
        </w:tc>
        <w:tc>
          <w:tcPr>
            <w:tcW w:type="dxa" w:w="3156"/>
          </w:tcPr>
          <w:p>
            <w:r>
              <w:t>Eight-case dataset and interactive execution</w:t>
            </w:r>
          </w:p>
        </w:tc>
      </w:tr>
      <w:tr>
        <w:tc>
          <w:tcPr>
            <w:tcW w:type="dxa" w:w="3156"/>
          </w:tcPr>
          <w:p>
            <w:r>
              <w:t>KEE commercial MVP</w:t>
            </w:r>
          </w:p>
        </w:tc>
        <w:tc>
          <w:tcPr>
            <w:tcW w:type="dxa" w:w="3156"/>
          </w:tcPr>
          <w:p>
            <w:r>
              <w:t>0.4 (unpublished)</w:t>
            </w:r>
          </w:p>
        </w:tc>
        <w:tc>
          <w:tcPr>
            <w:tcW w:type="dxa" w:w="3156"/>
          </w:tcPr>
          <w:p>
            <w:r>
              <w:t>Producer-authored formative evaluation only</w:t>
            </w:r>
          </w:p>
        </w:tc>
      </w:tr>
    </w:tbl>
    <w:p>
      <w:pPr>
        <w:pStyle w:val="Heading1"/>
        <w:keepNext/>
        <w:spacing w:before="240" w:after="80"/>
      </w:pPr>
      <w:r>
        <w:t>19. Conclusion</w:t>
      </w:r>
    </w:p>
    <w:p>
      <w:pPr>
        <w:spacing w:after="100" w:line="269" w:lineRule="auto"/>
        <w:ind w:firstLine="312"/>
      </w:pPr>
      <w:r>
        <w:t>The governance problem created by AI-enabled systems is not reducible to access, model risk, or agent authorization in isolation. Information may be accessible yet inadmissible; admissible evidence may be subject to method or model constraints; a valid analysis may require human decision ownership; and a decision may still require bounded authorization before a machine action can occur. Prior research in usage control, information flow, documentation, ML engineering, auditing, human automation, retrieval, and agent security exposes each of these boundaries from different directions.</w:t>
      </w:r>
    </w:p>
    <w:p>
      <w:pPr>
        <w:spacing w:after="100" w:line="269" w:lineRule="auto"/>
        <w:ind w:firstLine="312"/>
      </w:pPr>
      <w:r>
        <w:t>ADGL organizes the resulting problem into Knowledge Governance, Analysis Governance, and Consequence Governance, with Audit and Provenance spanning the complete trajectory. INFORM, DECIDE, and ACT provide a common consequence vocabulary across informational systems, human-owned decisions, and machine execution. The proposal is deliberately complementary to existing policy languages, provenance standards, AI management frameworks, and enforcement infrastructure.</w:t>
      </w:r>
    </w:p>
    <w:p>
      <w:pPr>
        <w:spacing w:after="100" w:line="269" w:lineRule="auto"/>
        <w:ind w:firstLine="312"/>
      </w:pPr>
      <w:r>
        <w:t>The reference toolkit demonstrates that the proposed semantics are executable and testable, but not that they are complete or production-safe. The strongest next evidence would come from independent implementations, formal mappings, broader domain cases, adversarial evaluation, and real organizational deployment. The core research claim is therefore modest but testable: a semantic chain designed to support portability that separates what may influence computation, how it may be analyzed, and what the result may cause can make AI governance decisions more explicit, interoperable, and auditable across heterogeneous systems.</w:t>
      </w:r>
    </w:p>
    <w:p>
      <w:pPr>
        <w:pStyle w:val="Heading1"/>
        <w:keepNext/>
        <w:spacing w:before="240" w:after="80"/>
      </w:pPr>
      <w:r>
        <w:t>Companion Appendices</w:t>
      </w:r>
    </w:p>
    <w:tbl>
      <w:tblPr>
        <w:tblStyle w:val="TableGrid"/>
        <w:tblW w:type="auto" w:w="0"/>
        <w:jc w:val="center"/>
        <w:tblLook w:firstColumn="1" w:firstRow="1" w:lastColumn="0" w:lastRow="0" w:noHBand="0" w:noVBand="1" w:val="04A0"/>
      </w:tblPr>
      <w:tblGrid>
        <w:gridCol w:w="3156"/>
        <w:gridCol w:w="3156"/>
        <w:gridCol w:w="3156"/>
      </w:tblGrid>
      <w:tr>
        <w:trPr>
          <w:tblHeader w:val="true"/>
          <w:tblHeader w:val="true"/>
          <w:tblHeader w:val="true"/>
        </w:trPr>
        <w:tc>
          <w:tcPr>
            <w:tcW w:type="dxa" w:w="1474"/>
            <w:shd w:fill="E7E6E6"/>
            <w:vAlign w:val="center"/>
            <w:tcMar>
              <w:top w:w="80" w:type="dxa"/>
              <w:start w:w="80" w:type="dxa"/>
              <w:bottom w:w="80" w:type="dxa"/>
              <w:end w:w="80" w:type="dxa"/>
              <w:top w:w="80" w:type="dxa"/>
              <w:left w:w="80" w:type="dxa"/>
              <w:bottom w:w="80" w:type="dxa"/>
              <w:right w:w="80" w:type="dxa"/>
            </w:tcMar>
          </w:tcPr>
          <w:p>
            <w:pPr>
              <w:spacing w:after="0"/>
            </w:pPr>
            <w:r>
              <w:rPr>
                <w:b/>
                <w:sz w:val="16"/>
              </w:rPr>
              <w:t>Document</w:t>
            </w:r>
          </w:p>
        </w:tc>
        <w:tc>
          <w:tcPr>
            <w:tcW w:type="dxa" w:w="3175"/>
            <w:shd w:fill="E7E6E6"/>
            <w:vAlign w:val="center"/>
            <w:tcMar>
              <w:top w:w="80" w:type="dxa"/>
              <w:start w:w="80" w:type="dxa"/>
              <w:bottom w:w="80" w:type="dxa"/>
              <w:end w:w="80" w:type="dxa"/>
              <w:top w:w="80" w:type="dxa"/>
              <w:left w:w="80" w:type="dxa"/>
              <w:bottom w:w="80" w:type="dxa"/>
              <w:right w:w="80" w:type="dxa"/>
            </w:tcMar>
          </w:tcPr>
          <w:p>
            <w:pPr>
              <w:spacing w:after="0"/>
            </w:pPr>
            <w:r>
              <w:rPr>
                <w:b/>
                <w:sz w:val="16"/>
              </w:rPr>
              <w:t>Title</w:t>
            </w:r>
          </w:p>
        </w:tc>
        <w:tc>
          <w:tcPr>
            <w:tcW w:type="dxa" w:w="4535"/>
            <w:shd w:fill="E7E6E6"/>
            <w:vAlign w:val="center"/>
            <w:tcMar>
              <w:top w:w="80" w:type="dxa"/>
              <w:start w:w="80" w:type="dxa"/>
              <w:bottom w:w="80" w:type="dxa"/>
              <w:end w:w="80" w:type="dxa"/>
              <w:top w:w="80" w:type="dxa"/>
              <w:left w:w="80" w:type="dxa"/>
              <w:bottom w:w="80" w:type="dxa"/>
              <w:right w:w="80" w:type="dxa"/>
            </w:tcMar>
          </w:tcPr>
          <w:p>
            <w:pPr>
              <w:spacing w:after="0"/>
            </w:pPr>
            <w:r>
              <w:rPr>
                <w:b/>
                <w:sz w:val="16"/>
              </w:rPr>
              <w:t>Role</w:t>
            </w:r>
          </w:p>
        </w:tc>
      </w:tr>
      <w:tr>
        <w:trPr>
          <w:cantSplit/>
        </w:trPr>
        <w:tc>
          <w:tcPr>
            <w:tcW w:type="dxa" w:w="147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Appendix A</w:t>
            </w:r>
          </w:p>
        </w:tc>
        <w:tc>
          <w:tcPr>
            <w:tcW w:type="dxa" w:w="317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Core Semantic Specification 0.3.0</w:t>
            </w:r>
          </w:p>
        </w:tc>
        <w:tc>
          <w:tcPr>
            <w:tcW w:type="dxa" w:w="453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Normative/working semantic objects, operations, states, validation rules, and conformance language.</w:t>
            </w:r>
          </w:p>
        </w:tc>
      </w:tr>
      <w:tr>
        <w:trPr>
          <w:cantSplit/>
        </w:trPr>
        <w:tc>
          <w:tcPr>
            <w:tcW w:type="dxa" w:w="147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Appendix B</w:t>
            </w:r>
          </w:p>
        </w:tc>
        <w:tc>
          <w:tcPr>
            <w:tcW w:type="dxa" w:w="317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Governance Stages and Outcome Model</w:t>
            </w:r>
          </w:p>
        </w:tc>
        <w:tc>
          <w:tcPr>
            <w:tcW w:type="dxa" w:w="453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Detailed Knowledge, Analysis, Consequence, audit/provenance, feedback, and enforcement-boundary semantics.</w:t>
            </w:r>
          </w:p>
        </w:tc>
      </w:tr>
      <w:tr>
        <w:trPr>
          <w:cantSplit/>
        </w:trPr>
        <w:tc>
          <w:tcPr>
            <w:tcW w:type="dxa" w:w="147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Appendix C</w:t>
            </w:r>
          </w:p>
        </w:tc>
        <w:tc>
          <w:tcPr>
            <w:tcW w:type="dxa" w:w="317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Reference Use Cases and Profiles</w:t>
            </w:r>
          </w:p>
        </w:tc>
        <w:tc>
          <w:tcPr>
            <w:tcW w:type="dxa" w:w="453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Eight reference cases and illustrative non-normative governance profiles.</w:t>
            </w:r>
          </w:p>
        </w:tc>
      </w:tr>
      <w:tr>
        <w:trPr>
          <w:cantSplit/>
        </w:trPr>
        <w:tc>
          <w:tcPr>
            <w:tcW w:type="dxa" w:w="147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Appendix D</w:t>
            </w:r>
          </w:p>
        </w:tc>
        <w:tc>
          <w:tcPr>
            <w:tcW w:type="dxa" w:w="317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Reference Toolkit and Evaluation</w:t>
            </w:r>
          </w:p>
        </w:tc>
        <w:tc>
          <w:tcPr>
            <w:tcW w:type="dxa" w:w="453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Implementation status, conformance, benchmark methodology, reproducibility, and interpretation limits.</w:t>
            </w:r>
          </w:p>
        </w:tc>
      </w:tr>
      <w:tr>
        <w:trPr>
          <w:cantSplit/>
        </w:trPr>
        <w:tc>
          <w:tcPr>
            <w:tcW w:type="dxa" w:w="1474"/>
            <w:vAlign w:val="top"/>
            <w:tcMar>
              <w:top w:w="80" w:type="dxa"/>
              <w:start w:w="80" w:type="dxa"/>
              <w:bottom w:w="80" w:type="dxa"/>
              <w:end w:w="80" w:type="dxa"/>
              <w:top w:w="80" w:type="dxa"/>
              <w:left w:w="80" w:type="dxa"/>
              <w:bottom w:w="80" w:type="dxa"/>
              <w:right w:w="80" w:type="dxa"/>
            </w:tcMar>
          </w:tcPr>
          <w:p>
            <w:pPr>
              <w:spacing w:after="0" w:line="240" w:lineRule="auto"/>
            </w:pPr>
            <w:r>
              <w:rPr>
                <w:sz w:val="16"/>
              </w:rPr>
              <w:t>Appendix E</w:t>
            </w:r>
          </w:p>
        </w:tc>
        <w:tc>
          <w:tcPr>
            <w:tcW w:type="dxa" w:w="317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Comparative Analysis</w:t>
            </w:r>
          </w:p>
        </w:tc>
        <w:tc>
          <w:tcPr>
            <w:tcW w:type="dxa" w:w="4535"/>
            <w:vAlign w:val="top"/>
            <w:tcMar>
              <w:top w:w="80" w:type="dxa"/>
              <w:start w:w="80" w:type="dxa"/>
              <w:bottom w:w="80" w:type="dxa"/>
              <w:end w:w="80" w:type="dxa"/>
              <w:top w:w="80" w:type="dxa"/>
              <w:left w:w="80" w:type="dxa"/>
              <w:bottom w:w="80" w:type="dxa"/>
              <w:right w:w="80" w:type="dxa"/>
            </w:tcMar>
          </w:tcPr>
          <w:p>
            <w:pPr>
              <w:spacing w:after="0" w:line="240" w:lineRule="auto"/>
            </w:pPr>
            <w:r>
              <w:rPr>
                <w:sz w:val="16"/>
              </w:rPr>
              <w:t>Detailed comparison with authorization, usage control, provenance, retrieval, management, regulatory, and agent-governance mechanisms.</w:t>
            </w:r>
          </w:p>
        </w:tc>
      </w:tr>
    </w:tbl>
    <w:p>
      <w:pPr>
        <w:spacing w:after="20"/>
      </w:pPr>
      <w:r/>
    </w:p>
    <w:p>
      <w:pPr>
        <w:pStyle w:val="Heading1"/>
        <w:keepNext/>
        <w:spacing w:before="240" w:after="80"/>
      </w:pPr>
      <w:r>
        <w:t>References</w:t>
      </w:r>
    </w:p>
    <w:p>
      <w:pPr>
        <w:spacing w:after="40" w:line="240" w:lineRule="auto"/>
        <w:ind w:left="283" w:hanging="283"/>
      </w:pPr>
      <w:r>
        <w:t>[1] E. Tabassi, Artificial Intelligence Risk Management Framework (AI RMF 1.0), NIST AI 100-1, National Institute of Standards and Technology, Jan. 2023.</w:t>
      </w:r>
    </w:p>
    <w:p>
      <w:pPr>
        <w:spacing w:after="40" w:line="240" w:lineRule="auto"/>
        <w:ind w:left="283" w:hanging="283"/>
      </w:pPr>
      <w:r>
        <w:t>[2] C. Autio et al., Artificial Intelligence Risk Management Framework: Generative Artificial Intelligence Profile, NIST AI 600-1, National Institute of Standards and Technology, July 2024.</w:t>
      </w:r>
    </w:p>
    <w:p>
      <w:pPr>
        <w:spacing w:after="40" w:line="240" w:lineRule="auto"/>
        <w:ind w:left="283" w:hanging="283"/>
      </w:pPr>
      <w:r>
        <w:t>[3] ISO/IEC 42001:2023, Information technology - Artificial intelligence - Management system, International Organization for Standardization, 2023.</w:t>
      </w:r>
    </w:p>
    <w:p>
      <w:pPr>
        <w:spacing w:after="40" w:line="240" w:lineRule="auto"/>
        <w:ind w:left="283" w:hanging="283"/>
      </w:pPr>
      <w:r>
        <w:t>[4] European Parliament and Council, Regulation (EU) 2024/1689 laying down harmonised rules on artificial intelligence (Artificial Intelligence Act), 2024.</w:t>
      </w:r>
    </w:p>
    <w:p>
      <w:pPr>
        <w:spacing w:after="40" w:line="240" w:lineRule="auto"/>
        <w:ind w:left="283" w:hanging="283"/>
      </w:pPr>
      <w:r>
        <w:t>[5] OASIS, eXtensible Access Control Markup Language (XACML) Version 3.0, OASIS Standard, 2013.</w:t>
      </w:r>
    </w:p>
    <w:p>
      <w:pPr>
        <w:spacing w:after="40" w:line="240" w:lineRule="auto"/>
        <w:ind w:left="283" w:hanging="283"/>
      </w:pPr>
      <w:r>
        <w:t>[6] Open Policy Agent, Policy Language and Authorization Documentation, accessed Aug. 2026.</w:t>
      </w:r>
    </w:p>
    <w:p>
      <w:pPr>
        <w:spacing w:after="40" w:line="240" w:lineRule="auto"/>
        <w:ind w:left="283" w:hanging="283"/>
      </w:pPr>
      <w:r>
        <w:t>[7] Cedar Policy Language, Cedar Policy Language Reference Guide, version 4.5, accessed Aug. 2026.</w:t>
      </w:r>
    </w:p>
    <w:p>
      <w:pPr>
        <w:spacing w:after="40" w:line="240" w:lineRule="auto"/>
        <w:ind w:left="283" w:hanging="283"/>
      </w:pPr>
      <w:r>
        <w:t>[8] J. Park and R. Sandhu, "The UCONABC Usage Control Model," ACM Transactions on Information and System Security, vol. 7, no. 1, pp. 128-174, 2004.</w:t>
      </w:r>
    </w:p>
    <w:p>
      <w:pPr>
        <w:spacing w:after="40" w:line="240" w:lineRule="auto"/>
        <w:ind w:left="283" w:hanging="283"/>
      </w:pPr>
      <w:r>
        <w:t>[9] W3C, ODRL Information Model 2.2, W3C Recommendation, Feb. 2018.</w:t>
      </w:r>
    </w:p>
    <w:p>
      <w:pPr>
        <w:spacing w:after="40" w:line="240" w:lineRule="auto"/>
        <w:ind w:left="283" w:hanging="283"/>
      </w:pPr>
      <w:r>
        <w:t>[10] W3C, PROV-O: The PROV Ontology, W3C Recommendation, Apr. 2013.</w:t>
      </w:r>
    </w:p>
    <w:p>
      <w:pPr>
        <w:spacing w:after="40" w:line="240" w:lineRule="auto"/>
        <w:ind w:left="283" w:hanging="283"/>
      </w:pPr>
      <w:r>
        <w:t>[11] S. Chong, K. Vikram, and A. C. Myers, "SIF: Enforcing Confidentiality and Integrity in Web Applications," in 16th USENIX Security Symposium, 2007.</w:t>
      </w:r>
    </w:p>
    <w:p>
      <w:pPr>
        <w:spacing w:after="40" w:line="240" w:lineRule="auto"/>
        <w:ind w:left="283" w:hanging="283"/>
      </w:pPr>
      <w:r>
        <w:t>[12] E. M. Bender and B. Friedman, "Data Statements for Natural Language Processing: Toward Mitigating System Bias and Enabling Better Science," Transactions of the Association for Computational Linguistics, vol. 6, pp. 587-604, 2018.</w:t>
      </w:r>
    </w:p>
    <w:p>
      <w:pPr>
        <w:spacing w:after="40" w:line="240" w:lineRule="auto"/>
        <w:ind w:left="283" w:hanging="283"/>
      </w:pPr>
      <w:r>
        <w:t>[13] K. Guu, K. Lee, Z. Tung, P. Pasupat, and M.-W. Chang, "REALM: Retrieval-Augmented Language Model Pre-Training," in Proceedings of ICML, 2020.</w:t>
      </w:r>
    </w:p>
    <w:p>
      <w:pPr>
        <w:spacing w:after="40" w:line="240" w:lineRule="auto"/>
        <w:ind w:left="283" w:hanging="283"/>
      </w:pPr>
      <w:r>
        <w:t>[14] P. Lewis et al., "Retrieval-Augmented Generation for Knowledge-Intensive NLP Tasks," in Advances in Neural Information Processing Systems, 2020.</w:t>
      </w:r>
    </w:p>
    <w:p>
      <w:pPr>
        <w:spacing w:after="40" w:line="240" w:lineRule="auto"/>
        <w:ind w:left="283" w:hanging="283"/>
      </w:pPr>
      <w:r>
        <w:t>[15] N. Sambasivan, S. Kapania, H. Highfill, D. Akrong, P. K. Paritosh, and L. M. Aroyo, "Everyone wants to do the model work, not the data work: Data Cascades in High-Stakes AI," in Proceedings of CHI, 2021.</w:t>
      </w:r>
    </w:p>
    <w:p>
      <w:pPr>
        <w:spacing w:after="40" w:line="240" w:lineRule="auto"/>
        <w:ind w:left="283" w:hanging="283"/>
      </w:pPr>
      <w:r>
        <w:t>[16] D. Sculley et al., "Hidden Technical Debt in Machine Learning Systems," in Advances in Neural Information Processing Systems, pp. 2503-2511, 2015.</w:t>
      </w:r>
    </w:p>
    <w:p>
      <w:pPr>
        <w:spacing w:after="40" w:line="240" w:lineRule="auto"/>
        <w:ind w:left="283" w:hanging="283"/>
      </w:pPr>
      <w:r>
        <w:t>[17] E. Breck, S. Cai, E. Nielsen, M. Salib, and D. Sculley, "The ML Test Score: A Rubric for ML Production Readiness and Technical Debt Reduction," in IEEE International Conference on Big Data, 2017.</w:t>
      </w:r>
    </w:p>
    <w:p>
      <w:pPr>
        <w:spacing w:after="40" w:line="240" w:lineRule="auto"/>
        <w:ind w:left="283" w:hanging="283"/>
      </w:pPr>
      <w:r>
        <w:t>[18] T. Gebru et al., "Datasheets for Datasets," Communications of the ACM, vol. 64, no. 12, pp. 86-92, 2021.</w:t>
      </w:r>
    </w:p>
    <w:p>
      <w:pPr>
        <w:spacing w:after="40" w:line="240" w:lineRule="auto"/>
        <w:ind w:left="283" w:hanging="283"/>
      </w:pPr>
      <w:r>
        <w:t>[19] M. Mitchell et al., "Model Cards for Model Reporting," in Proceedings of the Conference on Fairness, Accountability, and Transparency, pp. 220-229, 2019.</w:t>
      </w:r>
    </w:p>
    <w:p>
      <w:pPr>
        <w:spacing w:after="40" w:line="240" w:lineRule="auto"/>
        <w:ind w:left="283" w:hanging="283"/>
      </w:pPr>
      <w:r>
        <w:t>[20] R. Parasuraman, T. B. Sheridan, and C. D. Wickens, "A Model for Types and Levels of Human Interaction with Automation," IEEE Transactions on Systems, Man, and Cybernetics - Part A, vol. 30, no. 3, pp. 286-297, 2000.</w:t>
      </w:r>
    </w:p>
    <w:p>
      <w:pPr>
        <w:spacing w:after="40" w:line="240" w:lineRule="auto"/>
        <w:ind w:left="283" w:hanging="283"/>
      </w:pPr>
      <w:r>
        <w:t>[21] L. Bainbridge, "Ironies of Automation," Automatica, vol. 19, no. 6, pp. 775-779, 1983.</w:t>
      </w:r>
    </w:p>
    <w:p>
      <w:pPr>
        <w:spacing w:after="40" w:line="240" w:lineRule="auto"/>
        <w:ind w:left="283" w:hanging="283"/>
      </w:pPr>
      <w:r>
        <w:t>[22] M. R. Endsley and E. O. Kiris, "The Out-of-the-Loop Performance Problem and Level of Control in Automation," Human Factors, vol. 37, no. 2, pp. 381-394, 1995.</w:t>
      </w:r>
    </w:p>
    <w:p>
      <w:pPr>
        <w:spacing w:after="40" w:line="240" w:lineRule="auto"/>
        <w:ind w:left="283" w:hanging="283"/>
      </w:pPr>
      <w:r>
        <w:t>[23] K. Greshake, S. Abdelnabi, S. Mishra, C. Endres, T. Holz, and M. Fritz, "More than you've asked for: A Comprehensive Analysis of Novel Prompt Injection Threats to Application-Integrated Large Language Models," arXiv:2302.12173, 2023.</w:t>
      </w:r>
    </w:p>
    <w:p>
      <w:pPr>
        <w:spacing w:after="40" w:line="240" w:lineRule="auto"/>
        <w:ind w:left="283" w:hanging="283"/>
      </w:pPr>
      <w:r>
        <w:t>[24] S. Yao et al., "ReAct: Synergizing Reasoning and Acting in Language Models," in International Conference on Learning Representations, 2023.</w:t>
      </w:r>
    </w:p>
    <w:p>
      <w:pPr>
        <w:spacing w:after="40" w:line="240" w:lineRule="auto"/>
        <w:ind w:left="283" w:hanging="283"/>
      </w:pPr>
      <w:r>
        <w:t>[25] Model Context Protocol, Authorization Specification, version 2026-07-28, 2026.</w:t>
      </w:r>
    </w:p>
    <w:p>
      <w:pPr>
        <w:spacing w:after="40" w:line="240" w:lineRule="auto"/>
        <w:ind w:left="283" w:hanging="283"/>
      </w:pPr>
      <w:r>
        <w:t>[26] National Institute of Standards and Technology, AI Agent Standards Initiative, 2026.</w:t>
      </w:r>
    </w:p>
    <w:p>
      <w:pPr>
        <w:spacing w:after="40" w:line="240" w:lineRule="auto"/>
        <w:ind w:left="283" w:hanging="283"/>
      </w:pPr>
      <w:r>
        <w:t>[27] H. Booth, B. Fisher, R. Galluzzo, and J. Roberts, Accelerating the Adoption of Software and AI Agent Identity and Authorization, NCCoE Draft Concept Paper, Feb. 2026.</w:t>
      </w:r>
    </w:p>
    <w:p>
      <w:pPr>
        <w:spacing w:after="40" w:line="240" w:lineRule="auto"/>
        <w:ind w:left="283" w:hanging="283"/>
      </w:pPr>
      <w:r>
        <w:t>[28] J. Mavračić, "Policy Cards: Machine-Readable Runtime Governance for Autonomous AI Agents," arXiv:2510.24383, 2025.</w:t>
      </w:r>
    </w:p>
    <w:p>
      <w:pPr>
        <w:spacing w:after="40" w:line="240" w:lineRule="auto"/>
        <w:ind w:left="283" w:hanging="283"/>
      </w:pPr>
      <w:r>
        <w:t>[29] S. Amershi et al., "Software Engineering for Machine Learning: A Case Study," in 2019 IEEE/ACM 41st International Conference on Software Engineering: Software Engineering in Practice, 2019.</w:t>
      </w:r>
    </w:p>
    <w:p>
      <w:pPr>
        <w:spacing w:after="40" w:line="240" w:lineRule="auto"/>
        <w:ind w:left="283" w:hanging="283"/>
      </w:pPr>
      <w:r>
        <w:t>[30] I. D. Raji et al., "Closing the AI Accountability Gap: Defining an End-to-End Framework for Internal Algorithmic Auditing," in Proceedings of FAT* 2020, 2020.</w:t>
      </w:r>
    </w:p>
    <w:p>
      <w:pPr>
        <w:spacing w:after="40" w:line="240" w:lineRule="auto"/>
        <w:ind w:left="283" w:hanging="283"/>
      </w:pPr>
      <w:r>
        <w:t>[31] V. Ojewale, R. Steed, B. Vecchione, A. Birhane, and I. D. Raji, "Towards AI Accountability Infrastructure: Gaps and Opportunities in AI Audit Tooling," arXiv:2402.17861, revised 2025.</w:t>
      </w:r>
    </w:p>
    <w:p>
      <w:pPr>
        <w:spacing w:after="40" w:line="240" w:lineRule="auto"/>
        <w:ind w:left="283" w:hanging="283"/>
      </w:pPr>
      <w:r>
        <w:t>[32] OpenAI, "OpenAI and Hugging Face partner to address security incident during model evaluation," July 21, 2026, with updates through July 29, 2026.</w:t>
      </w:r>
    </w:p>
    <w:p>
      <w:pPr>
        <w:spacing w:after="40" w:line="240" w:lineRule="auto"/>
        <w:ind w:left="283" w:hanging="283"/>
      </w:pPr>
      <w:r>
        <w:t>[33] GBSN Research, From Observation to Orchestration: The Reliability-Actionability Framework for Automated Market Engines, Jan. 2026.</w:t>
      </w:r>
    </w:p>
    <w:p>
      <w:pPr>
        <w:spacing w:after="40" w:line="240" w:lineRule="auto"/>
        <w:ind w:left="283" w:hanging="283"/>
      </w:pPr>
      <w:r>
        <w:t>[34] H. Wang, C. M. Poskitt, and J. Sun, "AgentSpec: Customizable Runtime Enforcement for Safe and Reliable LLM Agents," arXiv:2503.18666, 2025.</w:t>
      </w:r>
    </w:p>
    <w:p>
      <w:pPr>
        <w:spacing w:after="40" w:line="240" w:lineRule="auto"/>
        <w:ind w:left="283" w:hanging="283"/>
      </w:pPr>
      <w:r>
        <w:t>[35] M. Kaptein, V.-J. Khan, and A. Podstavnychy, "Runtime Governance for AI Agents: Policies on Paths," arXiv:2603.16586, 2026.</w:t>
      </w:r>
    </w:p>
    <w:p>
      <w:pPr>
        <w:spacing w:after="40" w:line="240" w:lineRule="auto"/>
        <w:ind w:left="283" w:hanging="283"/>
      </w:pPr>
      <w:r>
        <w:t>[36] B. Wang et al., "Safety Sidecar: Reflection-Driven Runtime Control for Safer Agents," Findings of the Association for Computational Linguistics: ACL 2026, pp. 30842-30856, 2026.</w:t>
      </w:r>
    </w:p>
    <w:p>
      <w:pPr>
        <w:spacing w:after="40" w:line="240" w:lineRule="auto"/>
        <w:ind w:left="283" w:hanging="283"/>
      </w:pPr>
      <w:r>
        <w:t>[37] N. Zwerdling, D. Boaz, E. Rabinovich, G. Uziel, D. Amid, and A. Anaby Tavor, "Towards Enforcing Company Policy Adherence in Agentic Workflows," Proceedings of the 2025 Conference on Empirical Methods in Natural Language Processing: Industry Track, pp. 595-606, 2025.</w:t>
      </w:r>
    </w:p>
    <w:sectPr w:rsidR="00FC693F" w:rsidRPr="0006063C" w:rsidSect="00034616">
      <w:headerReference w:type="default" r:id="rId9"/>
      <w:footerReference w:type="default" r:id="rId10"/>
      <w:pgSz w:w="11906" w:h="16838"/>
      <w:pgMar w:top="1162" w:right="1219" w:bottom="1049" w:left="1219" w:header="454"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A5A5A"/>
        <w:sz w:val="16"/>
      </w:rPr>
      <w:t xml:space="preserve">GBSN Research | Research Release 0.4.3 | </w:t>
    </w: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6"/>
      </w:rPr>
      <w:t>AI Data Governance Layer (ADGL) - Submission Draft 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rPr>
      <w:rFonts w:ascii="Times New Roman" w:hAnsi="Times New Roman" w:eastAsia="Times New Roman"/>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Data Governance Layer (ADGL): Submission Draft v1.2</dc:title>
  <dc:subject>Revised marketability and scholarly-integrity version</dc:subject>
  <dc:creator>GBSN Research</dc:creator>
  <cp:keywords>AI governance, data governance, analysis governance, consequence governance, ADGL</cp:keywords>
  <dc:description>Revised to disclose GBSN Research's standards-development and commercial-product interests and to address major methodological review findings.</dc:description>
  <cp:lastModifiedBy/>
  <cp:revision>1</cp:revision>
  <dcterms:created xsi:type="dcterms:W3CDTF">2013-12-23T23:15:00Z</dcterms:created>
  <dcterms:modified xsi:type="dcterms:W3CDTF">2013-12-23T23:15:00Z</dcterms:modified>
  <cp:category/>
</cp:coreProperties>
</file>