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ADGL Appendix A - Core Semantic Specification 0.3.0</w:t>
      </w:r>
    </w:p>
    <w:p>
      <w:pPr>
        <w:jc w:val="center"/>
      </w:pPr>
      <w:r>
        <w:rPr>
          <w:b/>
        </w:rPr>
        <w:t>GBSN Research</w:t>
      </w:r>
    </w:p>
    <w:p>
      <w:pPr>
        <w:jc w:val="center"/>
      </w:pPr>
      <w:r>
        <w:t>Lisbon, Portugal | Correspondence: www.gbsnresearch.com (use Contacts)</w:t>
      </w:r>
    </w:p>
    <w:p>
      <w:pPr>
        <w:jc w:val="center"/>
      </w:pPr>
      <w:r>
        <w:rPr>
          <w:i/>
        </w:rPr>
        <w:t>Normative working draft companion to ADGL Main Paper v0.9</w:t>
      </w:r>
    </w:p>
    <w:p>
      <w:r>
        <w:br w:type="page"/>
      </w:r>
    </w:p>
    <w:p>
      <w:pPr>
        <w:pStyle w:val="Heading1"/>
      </w:pPr>
      <w:r>
        <w:t>A.1 STATUS AND NORMATIVE LANGUAGE</w:t>
      </w:r>
    </w:p>
    <w:p>
      <w:r>
        <w:t>This appendix is the normative semantic core of ADGL Working Draft 0.3.0. MUST, MUST NOT, SHOULD, SHOULD NOT, and MAY indicate requirement strength. The reference YAML serialization is illustrative; conformance attaches to observable semantics rather than programming language or serialization format.</w:t>
      </w:r>
    </w:p>
    <w:p>
      <w:pPr>
        <w:pStyle w:val="Heading1"/>
      </w:pPr>
      <w:r>
        <w:t>A.2 CORE OBJECT MODEL</w:t>
      </w:r>
    </w:p>
    <w:tbl>
      <w:tblPr>
        <w:tblStyle w:val="TableGrid"/>
        <w:tblW w:type="auto" w:w="0"/>
        <w:jc w:val="center"/>
        <w:tblLook w:firstColumn="1" w:firstRow="1" w:lastColumn="0" w:lastRow="0" w:noHBand="0" w:noVBand="1" w:val="04A0"/>
      </w:tblPr>
      <w:tblGrid>
        <w:gridCol w:w="5170"/>
        <w:gridCol w:w="5170"/>
      </w:tblGrid>
      <w:tr>
        <w:tc>
          <w:tcPr>
            <w:tcW w:type="dxa" w:w="5170"/>
            <w:shd w:fill="EDEDED"/>
            <w:vAlign w:val="center"/>
          </w:tcPr>
          <w:p>
            <w:r>
              <w:rPr>
                <w:b/>
                <w:sz w:val="16"/>
              </w:rPr>
              <w:t>Object</w:t>
            </w:r>
          </w:p>
        </w:tc>
        <w:tc>
          <w:tcPr>
            <w:tcW w:type="dxa" w:w="5170"/>
            <w:shd w:fill="EDEDED"/>
            <w:vAlign w:val="center"/>
          </w:tcPr>
          <w:p>
            <w:r>
              <w:rPr>
                <w:b/>
                <w:sz w:val="16"/>
              </w:rPr>
              <w:t>Meaning</w:t>
            </w:r>
          </w:p>
        </w:tc>
      </w:tr>
      <w:tr>
        <w:tc>
          <w:tcPr>
            <w:tcW w:type="dxa" w:w="5170"/>
            <w:vAlign w:val="center"/>
          </w:tcPr>
          <w:p>
            <w:r>
              <w:rPr>
                <w:sz w:val="16"/>
              </w:rPr>
              <w:t>Case</w:t>
            </w:r>
          </w:p>
        </w:tc>
        <w:tc>
          <w:tcPr>
            <w:tcW w:type="dxa" w:w="5170"/>
            <w:vAlign w:val="center"/>
          </w:tcPr>
          <w:p>
            <w:r>
              <w:rPr>
                <w:sz w:val="16"/>
              </w:rPr>
              <w:t>Execution context binding purpose, subject, actors, jurisdiction, time, classification, policies and other case attributes.</w:t>
            </w:r>
          </w:p>
        </w:tc>
      </w:tr>
      <w:tr>
        <w:tc>
          <w:tcPr>
            <w:tcW w:type="dxa" w:w="5170"/>
            <w:vAlign w:val="center"/>
          </w:tcPr>
          <w:p>
            <w:r>
              <w:rPr>
                <w:sz w:val="16"/>
              </w:rPr>
              <w:t>Policy</w:t>
            </w:r>
          </w:p>
        </w:tc>
        <w:tc>
          <w:tcPr>
            <w:tcW w:type="dxa" w:w="5170"/>
            <w:vAlign w:val="center"/>
          </w:tcPr>
          <w:p>
            <w:r>
              <w:rPr>
                <w:sz w:val="16"/>
              </w:rPr>
              <w:t>Versioned machine-evaluable governance statement.</w:t>
            </w:r>
          </w:p>
        </w:tc>
      </w:tr>
      <w:tr>
        <w:tc>
          <w:tcPr>
            <w:tcW w:type="dxa" w:w="5170"/>
            <w:vAlign w:val="center"/>
          </w:tcPr>
          <w:p>
            <w:r>
              <w:rPr>
                <w:sz w:val="16"/>
              </w:rPr>
              <w:t>Profile</w:t>
            </w:r>
          </w:p>
        </w:tc>
        <w:tc>
          <w:tcPr>
            <w:tcW w:type="dxa" w:w="5170"/>
            <w:vAlign w:val="center"/>
          </w:tcPr>
          <w:p>
            <w:r>
              <w:rPr>
                <w:sz w:val="16"/>
              </w:rPr>
              <w:t>Named, versioned collection of ADGL policies, semantic constraints, control mappings, conformance fixtures and optional guidance.</w:t>
            </w:r>
          </w:p>
        </w:tc>
      </w:tr>
      <w:tr>
        <w:tc>
          <w:tcPr>
            <w:tcW w:type="dxa" w:w="5170"/>
            <w:vAlign w:val="center"/>
          </w:tcPr>
          <w:p>
            <w:r>
              <w:rPr>
                <w:sz w:val="16"/>
              </w:rPr>
              <w:t>KnowledgeObject</w:t>
            </w:r>
          </w:p>
        </w:tc>
        <w:tc>
          <w:tcPr>
            <w:tcW w:type="dxa" w:w="5170"/>
            <w:vAlign w:val="center"/>
          </w:tcPr>
          <w:p>
            <w:r>
              <w:rPr>
                <w:sz w:val="16"/>
              </w:rPr>
              <w:t>Governable unit of information, including documents, records, messages, passages, datasets, claims, outputs and derived knowledge.</w:t>
            </w:r>
          </w:p>
        </w:tc>
      </w:tr>
      <w:tr>
        <w:tc>
          <w:tcPr>
            <w:tcW w:type="dxa" w:w="5170"/>
            <w:vAlign w:val="center"/>
          </w:tcPr>
          <w:p>
            <w:r>
              <w:rPr>
                <w:sz w:val="16"/>
              </w:rPr>
              <w:t>Source</w:t>
            </w:r>
          </w:p>
        </w:tc>
        <w:tc>
          <w:tcPr>
            <w:tcW w:type="dxa" w:w="5170"/>
            <w:vAlign w:val="center"/>
          </w:tcPr>
          <w:p>
            <w:r>
              <w:rPr>
                <w:sz w:val="16"/>
              </w:rPr>
              <w:t>Origin/provider of a KnowledgeObject.</w:t>
            </w:r>
          </w:p>
        </w:tc>
      </w:tr>
      <w:tr>
        <w:tc>
          <w:tcPr>
            <w:tcW w:type="dxa" w:w="5170"/>
            <w:vAlign w:val="center"/>
          </w:tcPr>
          <w:p>
            <w:r>
              <w:rPr>
                <w:sz w:val="16"/>
              </w:rPr>
              <w:t>Claim</w:t>
            </w:r>
          </w:p>
        </w:tc>
        <w:tc>
          <w:tcPr>
            <w:tcW w:type="dxa" w:w="5170"/>
            <w:vAlign w:val="center"/>
          </w:tcPr>
          <w:p>
            <w:r>
              <w:rPr>
                <w:sz w:val="16"/>
              </w:rPr>
              <w:t>Proposition capable of being supported, contradicted, qualified or unresolved.</w:t>
            </w:r>
          </w:p>
        </w:tc>
      </w:tr>
      <w:tr>
        <w:tc>
          <w:tcPr>
            <w:tcW w:type="dxa" w:w="5170"/>
            <w:vAlign w:val="center"/>
          </w:tcPr>
          <w:p>
            <w:r>
              <w:rPr>
                <w:sz w:val="16"/>
              </w:rPr>
              <w:t>Evidence</w:t>
            </w:r>
          </w:p>
        </w:tc>
        <w:tc>
          <w:tcPr>
            <w:tcW w:type="dxa" w:w="5170"/>
            <w:vAlign w:val="center"/>
          </w:tcPr>
          <w:p>
            <w:r>
              <w:rPr>
                <w:sz w:val="16"/>
              </w:rPr>
              <w:t>KnowledgeObject used with respect to a Claim.</w:t>
            </w:r>
          </w:p>
        </w:tc>
      </w:tr>
      <w:tr>
        <w:tc>
          <w:tcPr>
            <w:tcW w:type="dxa" w:w="5170"/>
            <w:vAlign w:val="center"/>
          </w:tcPr>
          <w:p>
            <w:r>
              <w:rPr>
                <w:sz w:val="16"/>
              </w:rPr>
              <w:t>Analysis</w:t>
            </w:r>
          </w:p>
        </w:tc>
        <w:tc>
          <w:tcPr>
            <w:tcW w:type="dxa" w:w="5170"/>
            <w:vAlign w:val="center"/>
          </w:tcPr>
          <w:p>
            <w:r>
              <w:rPr>
                <w:sz w:val="16"/>
              </w:rPr>
              <w:t>Governed analytical computation over admissible knowledge.</w:t>
            </w:r>
          </w:p>
        </w:tc>
      </w:tr>
      <w:tr>
        <w:tc>
          <w:tcPr>
            <w:tcW w:type="dxa" w:w="5170"/>
            <w:vAlign w:val="center"/>
          </w:tcPr>
          <w:p>
            <w:r>
              <w:rPr>
                <w:sz w:val="16"/>
              </w:rPr>
              <w:t>AnalyticalMethod</w:t>
            </w:r>
          </w:p>
        </w:tc>
        <w:tc>
          <w:tcPr>
            <w:tcW w:type="dxa" w:w="5170"/>
            <w:vAlign w:val="center"/>
          </w:tcPr>
          <w:p>
            <w:r>
              <w:rPr>
                <w:sz w:val="16"/>
              </w:rPr>
              <w:t>Named method or class of method used in Analysis.</w:t>
            </w:r>
          </w:p>
        </w:tc>
      </w:tr>
      <w:tr>
        <w:tc>
          <w:tcPr>
            <w:tcW w:type="dxa" w:w="5170"/>
            <w:vAlign w:val="center"/>
          </w:tcPr>
          <w:p>
            <w:r>
              <w:rPr>
                <w:sz w:val="16"/>
              </w:rPr>
              <w:t>AnalysisResult</w:t>
            </w:r>
          </w:p>
        </w:tc>
        <w:tc>
          <w:tcPr>
            <w:tcW w:type="dxa" w:w="5170"/>
            <w:vAlign w:val="center"/>
          </w:tcPr>
          <w:p>
            <w:r>
              <w:rPr>
                <w:sz w:val="16"/>
              </w:rPr>
              <w:t>Governed result generated by Analysis.</w:t>
            </w:r>
          </w:p>
        </w:tc>
      </w:tr>
      <w:tr>
        <w:tc>
          <w:tcPr>
            <w:tcW w:type="dxa" w:w="5170"/>
            <w:vAlign w:val="center"/>
          </w:tcPr>
          <w:p>
            <w:r>
              <w:rPr>
                <w:sz w:val="16"/>
              </w:rPr>
              <w:t>ValidationRule</w:t>
            </w:r>
          </w:p>
        </w:tc>
        <w:tc>
          <w:tcPr>
            <w:tcW w:type="dxa" w:w="5170"/>
            <w:vAlign w:val="center"/>
          </w:tcPr>
          <w:p>
            <w:r>
              <w:rPr>
                <w:sz w:val="16"/>
              </w:rPr>
              <w:t>Condition requiring validation before an AnalysisResult may proceed.</w:t>
            </w:r>
          </w:p>
        </w:tc>
      </w:tr>
      <w:tr>
        <w:tc>
          <w:tcPr>
            <w:tcW w:type="dxa" w:w="5170"/>
            <w:vAlign w:val="center"/>
          </w:tcPr>
          <w:p>
            <w:r>
              <w:rPr>
                <w:sz w:val="16"/>
              </w:rPr>
              <w:t>DecisionRight</w:t>
            </w:r>
          </w:p>
        </w:tc>
        <w:tc>
          <w:tcPr>
            <w:tcW w:type="dxa" w:w="5170"/>
            <w:vAlign w:val="center"/>
          </w:tcPr>
          <w:p>
            <w:r>
              <w:rPr>
                <w:sz w:val="16"/>
              </w:rPr>
              <w:t>Assignment of authority over a consequential next step.</w:t>
            </w:r>
          </w:p>
        </w:tc>
      </w:tr>
      <w:tr>
        <w:tc>
          <w:tcPr>
            <w:tcW w:type="dxa" w:w="5170"/>
            <w:vAlign w:val="center"/>
          </w:tcPr>
          <w:p>
            <w:r>
              <w:rPr>
                <w:sz w:val="16"/>
              </w:rPr>
              <w:t>ReviewRequest</w:t>
            </w:r>
          </w:p>
        </w:tc>
        <w:tc>
          <w:tcPr>
            <w:tcW w:type="dxa" w:w="5170"/>
            <w:vAlign w:val="center"/>
          </w:tcPr>
          <w:p>
            <w:r>
              <w:rPr>
                <w:sz w:val="16"/>
              </w:rPr>
              <w:t>Request for human validation or decision.</w:t>
            </w:r>
          </w:p>
        </w:tc>
      </w:tr>
      <w:tr>
        <w:tc>
          <w:tcPr>
            <w:tcW w:type="dxa" w:w="5170"/>
            <w:vAlign w:val="center"/>
          </w:tcPr>
          <w:p>
            <w:r>
              <w:rPr>
                <w:sz w:val="16"/>
              </w:rPr>
              <w:t>HumanDecision</w:t>
            </w:r>
          </w:p>
        </w:tc>
        <w:tc>
          <w:tcPr>
            <w:tcW w:type="dxa" w:w="5170"/>
            <w:vAlign w:val="center"/>
          </w:tcPr>
          <w:p>
            <w:r>
              <w:rPr>
                <w:sz w:val="16"/>
              </w:rPr>
              <w:t>Recorded human choice such as APPROVE, DENY, MODIFY, CONSENT, REQUEST_EVIDENCE, DEFER, or ESCALATE.</w:t>
            </w:r>
          </w:p>
        </w:tc>
      </w:tr>
      <w:tr>
        <w:tc>
          <w:tcPr>
            <w:tcW w:type="dxa" w:w="5170"/>
            <w:vAlign w:val="center"/>
          </w:tcPr>
          <w:p>
            <w:r>
              <w:rPr>
                <w:sz w:val="16"/>
              </w:rPr>
              <w:t>ActionProposal</w:t>
            </w:r>
          </w:p>
        </w:tc>
        <w:tc>
          <w:tcPr>
            <w:tcW w:type="dxa" w:w="5170"/>
            <w:vAlign w:val="center"/>
          </w:tcPr>
          <w:p>
            <w:r>
              <w:rPr>
                <w:sz w:val="16"/>
              </w:rPr>
              <w:t>Proposed consequential machine action derived from a governed result.</w:t>
            </w:r>
          </w:p>
        </w:tc>
      </w:tr>
      <w:tr>
        <w:tc>
          <w:tcPr>
            <w:tcW w:type="dxa" w:w="5170"/>
            <w:vAlign w:val="center"/>
          </w:tcPr>
          <w:p>
            <w:r>
              <w:rPr>
                <w:sz w:val="16"/>
              </w:rPr>
              <w:t>Action</w:t>
            </w:r>
          </w:p>
        </w:tc>
        <w:tc>
          <w:tcPr>
            <w:tcW w:type="dxa" w:w="5170"/>
            <w:vAlign w:val="center"/>
          </w:tcPr>
          <w:p>
            <w:r>
              <w:rPr>
                <w:sz w:val="16"/>
              </w:rPr>
              <w:t>External state-changing instruction or operation.</w:t>
            </w:r>
          </w:p>
        </w:tc>
      </w:tr>
      <w:tr>
        <w:tc>
          <w:tcPr>
            <w:tcW w:type="dxa" w:w="5170"/>
            <w:vAlign w:val="center"/>
          </w:tcPr>
          <w:p>
            <w:r>
              <w:rPr>
                <w:sz w:val="16"/>
              </w:rPr>
              <w:t>CapabilityGrant</w:t>
            </w:r>
          </w:p>
        </w:tc>
        <w:tc>
          <w:tcPr>
            <w:tcW w:type="dxa" w:w="5170"/>
            <w:vAlign w:val="center"/>
          </w:tcPr>
          <w:p>
            <w:r>
              <w:rPr>
                <w:sz w:val="16"/>
              </w:rPr>
              <w:t>Task-scoped authorization for one or more actions.</w:t>
            </w:r>
          </w:p>
        </w:tc>
      </w:tr>
      <w:tr>
        <w:tc>
          <w:tcPr>
            <w:tcW w:type="dxa" w:w="5170"/>
            <w:vAlign w:val="center"/>
          </w:tcPr>
          <w:p>
            <w:r>
              <w:rPr>
                <w:sz w:val="16"/>
              </w:rPr>
              <w:t>ModelResource</w:t>
            </w:r>
          </w:p>
        </w:tc>
        <w:tc>
          <w:tcPr>
            <w:tcW w:type="dxa" w:w="5170"/>
            <w:vAlign w:val="center"/>
          </w:tcPr>
          <w:p>
            <w:r>
              <w:rPr>
                <w:sz w:val="16"/>
              </w:rPr>
              <w:t>Reasoning/analytical model available to a Case.</w:t>
            </w:r>
          </w:p>
        </w:tc>
      </w:tr>
      <w:tr>
        <w:tc>
          <w:tcPr>
            <w:tcW w:type="dxa" w:w="5170"/>
            <w:vAlign w:val="center"/>
          </w:tcPr>
          <w:p>
            <w:r>
              <w:rPr>
                <w:sz w:val="16"/>
              </w:rPr>
              <w:t>ProcessingEnvironment</w:t>
            </w:r>
          </w:p>
        </w:tc>
        <w:tc>
          <w:tcPr>
            <w:tcW w:type="dxa" w:w="5170"/>
            <w:vAlign w:val="center"/>
          </w:tcPr>
          <w:p>
            <w:r>
              <w:rPr>
                <w:sz w:val="16"/>
              </w:rPr>
              <w:t>Execution location and deployment attributes.</w:t>
            </w:r>
          </w:p>
        </w:tc>
      </w:tr>
      <w:tr>
        <w:tc>
          <w:tcPr>
            <w:tcW w:type="dxa" w:w="5170"/>
            <w:vAlign w:val="center"/>
          </w:tcPr>
          <w:p>
            <w:r>
              <w:rPr>
                <w:sz w:val="16"/>
              </w:rPr>
              <w:t>Connector</w:t>
            </w:r>
          </w:p>
        </w:tc>
        <w:tc>
          <w:tcPr>
            <w:tcW w:type="dxa" w:w="5170"/>
            <w:vAlign w:val="center"/>
          </w:tcPr>
          <w:p>
            <w:r>
              <w:rPr>
                <w:sz w:val="16"/>
              </w:rPr>
              <w:t>Interface to knowledge, tools or external systems.</w:t>
            </w:r>
          </w:p>
        </w:tc>
      </w:tr>
      <w:tr>
        <w:tc>
          <w:tcPr>
            <w:tcW w:type="dxa" w:w="5170"/>
            <w:vAlign w:val="center"/>
          </w:tcPr>
          <w:p>
            <w:r>
              <w:rPr>
                <w:sz w:val="16"/>
              </w:rPr>
              <w:t>AuditRecord</w:t>
            </w:r>
          </w:p>
        </w:tc>
        <w:tc>
          <w:tcPr>
            <w:tcW w:type="dxa" w:w="5170"/>
            <w:vAlign w:val="center"/>
          </w:tcPr>
          <w:p>
            <w:r>
              <w:rPr>
                <w:sz w:val="16"/>
              </w:rPr>
              <w:t>End-to-end governance trace.</w:t>
            </w:r>
          </w:p>
        </w:tc>
      </w:tr>
      <w:tr>
        <w:tc>
          <w:tcPr>
            <w:tcW w:type="dxa" w:w="5170"/>
            <w:vAlign w:val="center"/>
          </w:tcPr>
          <w:p>
            <w:r>
              <w:rPr>
                <w:sz w:val="16"/>
              </w:rPr>
              <w:t>Event</w:t>
            </w:r>
          </w:p>
        </w:tc>
        <w:tc>
          <w:tcPr>
            <w:tcW w:type="dxa" w:w="5170"/>
            <w:vAlign w:val="center"/>
          </w:tcPr>
          <w:p>
            <w:r>
              <w:rPr>
                <w:sz w:val="16"/>
              </w:rPr>
              <w:t>Recorded governance state transition.</w:t>
            </w:r>
          </w:p>
        </w:tc>
      </w:tr>
    </w:tbl>
    <w:p>
      <w:pPr>
        <w:pStyle w:val="Heading1"/>
      </w:pPr>
      <w:r>
        <w:t>A.3 CORE ATTRIBUTES</w:t>
      </w:r>
    </w:p>
    <w:p>
      <w:r>
        <w:t>Portable attributes include id, type, source, actor, purpose, created/effective time, status, classification, jurisdiction, region, provenance status, authority, priority, applicability, evidence role, model eligibility, processing constraints, analysis method, confidence, outcome disposition, decision owner, executor, derivation, retention, and policy version. Profiles MAY define additional namespaced attributes.</w:t>
      </w:r>
    </w:p>
    <w:p>
      <w:pPr>
        <w:pStyle w:val="Heading1"/>
      </w:pPr>
      <w:r>
        <w:t>A.4 CORE RELATIONSHIPS</w:t>
      </w:r>
    </w:p>
    <w:p>
      <w:r>
        <w:rPr>
          <w:rFonts w:ascii="Liberation Mono" w:hAnsi="Liberation Mono"/>
          <w:sz w:val="15"/>
        </w:rPr>
        <w:t>SUPPORTS | CONTRADICTS | QUALIFIES | CORROBORATES | DERIVES_FROM | SUPERSEDES | GOVERNS | APPLIES_TO | DEPENDS_ON | OVERRIDES | RESTRICTS | REQUIRES | GENERATES | VALIDATES | TRIGGERS</w:t>
      </w:r>
    </w:p>
    <w:p>
      <w:r>
        <w:t>Implementations MUST preserve relationship direction and provenance. DERIVES_FROM MUST be sufficient to support restriction propagation where policy requires it. GENERATES links an Analysis to an AnalysisResult or an Action to an ActionResult. VALIDATES links a validator event or source to an AnalysisResult. TRIGGERS links a governed result or decision to a consequential action.</w:t>
      </w:r>
    </w:p>
    <w:p>
      <w:pPr>
        <w:pStyle w:val="Heading1"/>
      </w:pPr>
      <w:r>
        <w:t>A.5 POLICY AND CASE SEMANTICS</w:t>
      </w:r>
    </w:p>
    <w:p>
      <w:r>
        <w:t>A Case MUST identify an execution purpose and MAY carry subject, actor, jurisdiction, classification, time, organization, risk, processing-location, and other attributes. Policy applicability is evaluated against the active Case. A policy that is valid for one purpose or jurisdiction MUST NOT be assumed to apply to another.</w:t>
      </w:r>
    </w:p>
    <w:p>
      <w:pPr>
        <w:pStyle w:val="Heading1"/>
      </w:pPr>
      <w:r>
        <w:t>A.6 COMMON CONTROL STRUCTURES</w:t>
      </w:r>
    </w:p>
    <w:p>
      <w:r>
        <w:rPr>
          <w:rFonts w:ascii="Liberation Mono" w:hAnsi="Liberation Mono"/>
          <w:sz w:val="15"/>
        </w:rPr>
        <w:t>CASE | SELECT | IF | WHEN | THEN/DO | ELSE | FOR_EACH | UNTIL | STOP | FALLBACK | EXCEPTION</w:t>
      </w:r>
    </w:p>
    <w:p>
      <w:r>
        <w:t>Selectors MAY address source, repository, document, record, field, section, author/actor, claim, evidence role, date, classification, jurisdiction, region, model, processing environment, analysis result, consequence disposition, action, or namespaced profile attributes.</w:t>
      </w:r>
    </w:p>
    <w:p>
      <w:pPr>
        <w:pStyle w:val="Heading1"/>
      </w:pPr>
      <w:r>
        <w:t>A.7 POLICY COMPOSITION AND PRECEDENCE</w:t>
      </w:r>
    </w:p>
    <w:p>
      <w:r>
        <w:t>The base precedence order is: (1) legal/regulatory/sovereign constraints; (2) explicit prohibitions and mandatory security constraints; (3) classification and processing-location constraints; (4) lifecycle restrictions; (5) governing-authority rules; (6) mandatory evidence and human-review obligations; (7) case-specific policy; (8) organizational defaults; (9) priority preferences; (10) fallback. Higher-precedence restrictions MUST dominate lower-precedence preferences unless an explicitly authorized override mechanism is defined by a Profile.</w:t>
      </w:r>
    </w:p>
    <w:p>
      <w:pPr>
        <w:pStyle w:val="Heading1"/>
      </w:pPr>
      <w:r>
        <w:t>A.8 DECISION OPERATIONS, STATES, AND REASON CODES</w:t>
      </w:r>
    </w:p>
    <w:tbl>
      <w:tblPr>
        <w:tblStyle w:val="TableGrid"/>
        <w:tblW w:type="auto" w:w="0"/>
        <w:jc w:val="center"/>
        <w:tblLook w:firstColumn="1" w:firstRow="1" w:lastColumn="0" w:lastRow="0" w:noHBand="0" w:noVBand="1" w:val="04A0"/>
      </w:tblPr>
      <w:tblGrid>
        <w:gridCol w:w="5170"/>
        <w:gridCol w:w="5170"/>
      </w:tblGrid>
      <w:tr>
        <w:tc>
          <w:tcPr>
            <w:tcW w:type="dxa" w:w="5170"/>
            <w:shd w:fill="EDEDED"/>
            <w:vAlign w:val="center"/>
          </w:tcPr>
          <w:p>
            <w:r>
              <w:rPr>
                <w:b/>
                <w:sz w:val="16"/>
              </w:rPr>
              <w:t>Operation</w:t>
            </w:r>
          </w:p>
        </w:tc>
        <w:tc>
          <w:tcPr>
            <w:tcW w:type="dxa" w:w="5170"/>
            <w:shd w:fill="EDEDED"/>
            <w:vAlign w:val="center"/>
          </w:tcPr>
          <w:p>
            <w:r>
              <w:rPr>
                <w:b/>
                <w:sz w:val="16"/>
              </w:rPr>
              <w:t>Resulting state</w:t>
            </w:r>
          </w:p>
        </w:tc>
      </w:tr>
      <w:tr>
        <w:tc>
          <w:tcPr>
            <w:tcW w:type="dxa" w:w="5170"/>
            <w:vAlign w:val="center"/>
          </w:tcPr>
          <w:p>
            <w:r>
              <w:rPr>
                <w:sz w:val="16"/>
              </w:rPr>
              <w:t>PERMIT</w:t>
            </w:r>
          </w:p>
        </w:tc>
        <w:tc>
          <w:tcPr>
            <w:tcW w:type="dxa" w:w="5170"/>
            <w:vAlign w:val="center"/>
          </w:tcPr>
          <w:p>
            <w:r>
              <w:rPr>
                <w:sz w:val="16"/>
              </w:rPr>
              <w:t>PERMITTED</w:t>
            </w:r>
          </w:p>
        </w:tc>
      </w:tr>
      <w:tr>
        <w:tc>
          <w:tcPr>
            <w:tcW w:type="dxa" w:w="5170"/>
            <w:vAlign w:val="center"/>
          </w:tcPr>
          <w:p>
            <w:r>
              <w:rPr>
                <w:sz w:val="16"/>
              </w:rPr>
              <w:t>QUALIFY</w:t>
            </w:r>
          </w:p>
        </w:tc>
        <w:tc>
          <w:tcPr>
            <w:tcW w:type="dxa" w:w="5170"/>
            <w:vAlign w:val="center"/>
          </w:tcPr>
          <w:p>
            <w:r>
              <w:rPr>
                <w:sz w:val="16"/>
              </w:rPr>
              <w:t>QUALIFIED</w:t>
            </w:r>
          </w:p>
        </w:tc>
      </w:tr>
      <w:tr>
        <w:tc>
          <w:tcPr>
            <w:tcW w:type="dxa" w:w="5170"/>
            <w:vAlign w:val="center"/>
          </w:tcPr>
          <w:p>
            <w:r>
              <w:rPr>
                <w:sz w:val="16"/>
              </w:rPr>
              <w:t>BLOCK</w:t>
            </w:r>
          </w:p>
        </w:tc>
        <w:tc>
          <w:tcPr>
            <w:tcW w:type="dxa" w:w="5170"/>
            <w:vAlign w:val="center"/>
          </w:tcPr>
          <w:p>
            <w:r>
              <w:rPr>
                <w:sz w:val="16"/>
              </w:rPr>
              <w:t>BLOCKED</w:t>
            </w:r>
          </w:p>
        </w:tc>
      </w:tr>
      <w:tr>
        <w:tc>
          <w:tcPr>
            <w:tcW w:type="dxa" w:w="5170"/>
            <w:vAlign w:val="center"/>
          </w:tcPr>
          <w:p>
            <w:r>
              <w:rPr>
                <w:sz w:val="16"/>
              </w:rPr>
              <w:t>ABSTAIN</w:t>
            </w:r>
          </w:p>
        </w:tc>
        <w:tc>
          <w:tcPr>
            <w:tcW w:type="dxa" w:w="5170"/>
            <w:vAlign w:val="center"/>
          </w:tcPr>
          <w:p>
            <w:r>
              <w:rPr>
                <w:sz w:val="16"/>
              </w:rPr>
              <w:t>ABSTAINED</w:t>
            </w:r>
          </w:p>
        </w:tc>
      </w:tr>
      <w:tr>
        <w:tc>
          <w:tcPr>
            <w:tcW w:type="dxa" w:w="5170"/>
            <w:vAlign w:val="center"/>
          </w:tcPr>
          <w:p>
            <w:r>
              <w:rPr>
                <w:sz w:val="16"/>
              </w:rPr>
              <w:t>ESCALATE</w:t>
            </w:r>
          </w:p>
        </w:tc>
        <w:tc>
          <w:tcPr>
            <w:tcW w:type="dxa" w:w="5170"/>
            <w:vAlign w:val="center"/>
          </w:tcPr>
          <w:p>
            <w:r>
              <w:rPr>
                <w:sz w:val="16"/>
              </w:rPr>
              <w:t>ESCALATED</w:t>
            </w:r>
          </w:p>
        </w:tc>
      </w:tr>
      <w:tr>
        <w:tc>
          <w:tcPr>
            <w:tcW w:type="dxa" w:w="5170"/>
            <w:vAlign w:val="center"/>
          </w:tcPr>
          <w:p>
            <w:r>
              <w:rPr>
                <w:sz w:val="16"/>
              </w:rPr>
              <w:t>REQUIRE_REVIEW</w:t>
            </w:r>
          </w:p>
        </w:tc>
        <w:tc>
          <w:tcPr>
            <w:tcW w:type="dxa" w:w="5170"/>
            <w:vAlign w:val="center"/>
          </w:tcPr>
          <w:p>
            <w:r>
              <w:rPr>
                <w:sz w:val="16"/>
              </w:rPr>
              <w:t>AWAITING_REVIEW</w:t>
            </w:r>
          </w:p>
        </w:tc>
      </w:tr>
    </w:tbl>
    <w:p>
      <w:r>
        <w:t>Failure/reason codes are distinct from terminal states. Reference codes include INSUFFICIENT_EVIDENCE, POLICY_CONFLICT, NO_COMPLIANT_ROUTE, MISSING_ATTRIBUTE, PROVENANCE_UNRESOLVED, ANALYSIS_METHOD_NOT_PERMITTED, ANALYSIS_VALIDATION_REQUIRED, ACTION_NOT_AUTHORIZED, and AUDIT_FAILURE.</w:t>
      </w:r>
    </w:p>
    <w:p>
      <w:pPr>
        <w:pStyle w:val="Heading1"/>
      </w:pPr>
      <w:r>
        <w:t>A.9 AUDIT MINIMUMS</w:t>
      </w:r>
    </w:p>
    <w:p>
      <w:r>
        <w:t>An auditable execution SHOULD record Case identity, policy identifiers/versions, candidate and admitted knowledge, object dispositions and reasons, evidence roles, authority/applicability results, model/tool and processing environment, analysis method and validation, conflicts, result state, consequence disposition, human decisions, machine action authorization, derivation links, timestamps, and relevant resulting state. Implementations MAY redact sensitive values while preserving verifiable hashes or references.</w:t>
      </w:r>
    </w:p>
    <w:p>
      <w:pPr>
        <w:pStyle w:val="Heading1"/>
      </w:pPr>
      <w:r>
        <w:t>A.10 PROFILE SEMANTICS</w:t>
      </w:r>
    </w:p>
    <w:p>
      <w:r>
        <w:t>A Profile MUST have an identifier and version. It MAY define required operations, additional attributes, mappings to external frameworks, conformance fixtures, implementation guidance, and extension namespaces. Regulatory mappings SHOULD be marked informative unless the profile is maintained under an appropriate legal/compliance assurance process. ADGL conformance does not by itself establish compliance with external law or standards.</w:t>
      </w:r>
    </w:p>
    <w:p>
      <w:pPr>
        <w:pStyle w:val="Heading1"/>
      </w:pPr>
      <w:r>
        <w:t>A.11 EXTENSIONS</w:t>
      </w:r>
    </w:p>
    <w:p>
      <w:r>
        <w:t>Unknown non-namespaced normative operations MUST be rejected by a conforming parser. Extensions MUST be namespaced or otherwise unambiguously distinguished from core vocabulary. Extensions MUST document semantic meaning, stage ownership, conflict behavior, audit requirements, and conformance tests.</w:t>
      </w:r>
    </w:p>
    <w:p>
      <w:pPr>
        <w:pStyle w:val="Heading1"/>
      </w:pPr>
      <w:r>
        <w:t>A.12 BASE CONFORMANCE REQUIREMENTS</w:t>
      </w:r>
    </w:p>
    <w:p>
      <w:r>
        <w:t>A Core conforming implementation MUST demonstrate exclusion safety, quarantine isolation, embargo enforcement, supersession, separation of priority from authority, applicability gating, model/region safety when those controls are implemented, mandatory-evidence behavior, conflict preservation, derived-restriction propagation, audit completeness, deterministic replay for deterministic rules, and deterministic policy composition for the implemented profile. Stage-specific conformance requirements are defined in Appendix B.</w:t>
      </w:r>
    </w:p>
    <w:sectPr w:rsidR="00FC693F" w:rsidRPr="0006063C" w:rsidSect="00034616">
      <w:footerReference w:type="default" r:id="rId9"/>
      <w:pgSz w:w="12240" w:h="15840"/>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ADGL Appendix A | Core Semantic Specification 0.3.0 | GBSN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ADGL Appendix A - Core Semantic Specification 0.3.0</dc:title>
  <dc:subject>AI Data Governance Layer (ADGL) Research Release 0.4.0</dc:subject>
  <dc:creator>GBSN Research</dc:creator>
  <cp:keywords>ADGL, AI governance, data governance, analysis governance, consequence governance, audit, provenance</cp:keywords>
  <dc:description>generated by python-docx</dc:description>
  <cp:lastModifiedBy>GBSN Research</cp:lastModifiedBy>
  <cp:revision>1</cp:revision>
  <dcterms:created xsi:type="dcterms:W3CDTF">2013-12-23T23:15:00Z</dcterms:created>
  <dcterms:modified xsi:type="dcterms:W3CDTF">2013-12-23T23:15:00Z</dcterms:modified>
  <cp:category/>
</cp:coreProperties>
</file>