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ADGL Appendix D - Reference Toolkit, Conformance, and Evaluation</w:t>
      </w:r>
    </w:p>
    <w:p>
      <w:pPr>
        <w:jc w:val="center"/>
      </w:pPr>
      <w:r>
        <w:t>GBSN Research</w:t>
      </w:r>
    </w:p>
    <w:p>
      <w:pPr>
        <w:jc w:val="center"/>
      </w:pPr>
      <w:r>
        <w:t>Lisbon, Portugal | Correspondence: www.gbsnresearch.com (use Contacts)</w:t>
      </w:r>
    </w:p>
    <w:p>
      <w:pPr>
        <w:jc w:val="center"/>
      </w:pPr>
      <w:r>
        <w:t>Reference Toolkit 0.5.0 | Research Release 0.4.0</w:t>
      </w:r>
    </w:p>
    <w:p>
      <w:r/>
    </w:p>
    <w:p>
      <w:pPr>
        <w:pStyle w:val="Heading1"/>
      </w:pPr>
      <w:r>
        <w:t>D.1 PURPOSE AND SCOPE</w:t>
      </w:r>
    </w:p>
    <w:p>
      <w:r>
        <w:t>The ADGL Reference Toolkit is an executable research artifact, not a production governance service. It implements deterministic semantics sufficient to inspect, test, and falsify the proposed architecture. It contains no foundation model and performs no live enterprise action.</w:t>
      </w:r>
    </w:p>
    <w:p>
      <w:pPr>
        <w:pStyle w:val="Heading1"/>
      </w:pPr>
      <w:r>
        <w:t>D.2 REPOSITORY STRUCTURE</w:t>
      </w:r>
    </w:p>
    <w:p>
      <w:r>
        <w:t>adgl/              core engine, pipeline engine, analysis, consequence, audit</w:t>
        <w:br/>
        <w:t>schemas/           core/pipeline policy, knowledge, model, analysis-result, action, grant, profile</w:t>
        <w:br/>
        <w:t>examples/          eight reference cases</w:t>
        <w:br/>
        <w:t>profiles/          illustrative non-normative domain profiles</w:t>
        <w:br/>
        <w:t>conformance/       executable results</w:t>
        <w:br/>
        <w:t>benchmarks/        reproducible benchmark harness and results</w:t>
        <w:br/>
        <w:t>docs/              semantics, profiles, threat model, implementation status</w:t>
        <w:br/>
        <w:t>tests/             automated software tests</w:t>
      </w:r>
    </w:p>
    <w:p>
      <w:pPr>
        <w:pStyle w:val="Heading1"/>
      </w:pPr>
      <w:r>
        <w:t>D.3 IMPLEMENTATION STATUS</w:t>
      </w:r>
    </w:p>
    <w:tbl>
      <w:tblPr>
        <w:tblStyle w:val="TableGrid"/>
        <w:tblW w:type="auto" w:w="0"/>
        <w:jc w:val="center"/>
        <w:tblLook w:firstColumn="1" w:firstRow="1" w:lastColumn="0" w:lastRow="0" w:noHBand="0" w:noVBand="1" w:val="04A0"/>
      </w:tblPr>
      <w:tblGrid>
        <w:gridCol w:w="5170"/>
        <w:gridCol w:w="5170"/>
      </w:tblGrid>
      <w:tr>
        <w:trPr>
          <w:tblHeader w:val="true"/>
        </w:trPr>
        <w:tc>
          <w:tcPr>
            <w:tcW w:type="dxa" w:w="5170"/>
            <w:shd w:fill="EDEDED"/>
            <w:vAlign w:val="center"/>
          </w:tcPr>
          <w:p>
            <w:r>
              <w:rPr>
                <w:b/>
                <w:sz w:val="16"/>
              </w:rPr>
              <w:t>Capability</w:t>
            </w:r>
          </w:p>
        </w:tc>
        <w:tc>
          <w:tcPr>
            <w:tcW w:type="dxa" w:w="5170"/>
            <w:shd w:fill="EDEDED"/>
            <w:vAlign w:val="center"/>
          </w:tcPr>
          <w:p>
            <w:r>
              <w:rPr>
                <w:b/>
                <w:sz w:val="16"/>
              </w:rPr>
              <w:t>Status</w:t>
            </w:r>
          </w:p>
        </w:tc>
      </w:tr>
      <w:tr>
        <w:tc>
          <w:tcPr>
            <w:tcW w:type="dxa" w:w="5170"/>
            <w:vAlign w:val="center"/>
          </w:tcPr>
          <w:p>
            <w:r>
              <w:rPr>
                <w:sz w:val="16"/>
              </w:rPr>
              <w:t>Knowledge admission/lifecycle/evidence roles</w:t>
            </w:r>
          </w:p>
        </w:tc>
        <w:tc>
          <w:tcPr>
            <w:tcW w:type="dxa" w:w="5170"/>
            <w:vAlign w:val="center"/>
          </w:tcPr>
          <w:p>
            <w:r>
              <w:rPr>
                <w:sz w:val="16"/>
              </w:rPr>
              <w:t>Implemented core subset</w:t>
            </w:r>
          </w:p>
        </w:tc>
      </w:tr>
      <w:tr>
        <w:tc>
          <w:tcPr>
            <w:tcW w:type="dxa" w:w="5170"/>
            <w:vAlign w:val="center"/>
          </w:tcPr>
          <w:p>
            <w:r>
              <w:rPr>
                <w:sz w:val="16"/>
              </w:rPr>
              <w:t>Authority/priority/applicability</w:t>
            </w:r>
          </w:p>
        </w:tc>
        <w:tc>
          <w:tcPr>
            <w:tcW w:type="dxa" w:w="5170"/>
            <w:vAlign w:val="center"/>
          </w:tcPr>
          <w:p>
            <w:r>
              <w:rPr>
                <w:sz w:val="16"/>
              </w:rPr>
              <w:t>Implemented core subset</w:t>
            </w:r>
          </w:p>
        </w:tc>
      </w:tr>
      <w:tr>
        <w:tc>
          <w:tcPr>
            <w:tcW w:type="dxa" w:w="5170"/>
            <w:vAlign w:val="center"/>
          </w:tcPr>
          <w:p>
            <w:r>
              <w:rPr>
                <w:sz w:val="16"/>
              </w:rPr>
              <w:t>Derived restriction propagation</w:t>
            </w:r>
          </w:p>
        </w:tc>
        <w:tc>
          <w:tcPr>
            <w:tcW w:type="dxa" w:w="5170"/>
            <w:vAlign w:val="center"/>
          </w:tcPr>
          <w:p>
            <w:r>
              <w:rPr>
                <w:sz w:val="16"/>
              </w:rPr>
              <w:t>Implemented basic propagation</w:t>
            </w:r>
          </w:p>
        </w:tc>
      </w:tr>
      <w:tr>
        <w:tc>
          <w:tcPr>
            <w:tcW w:type="dxa" w:w="5170"/>
            <w:vAlign w:val="center"/>
          </w:tcPr>
          <w:p>
            <w:r>
              <w:rPr>
                <w:sz w:val="16"/>
              </w:rPr>
              <w:t>Model/processing-region eligibility</w:t>
            </w:r>
          </w:p>
        </w:tc>
        <w:tc>
          <w:tcPr>
            <w:tcW w:type="dxa" w:w="5170"/>
            <w:vAlign w:val="center"/>
          </w:tcPr>
          <w:p>
            <w:r>
              <w:rPr>
                <w:sz w:val="16"/>
              </w:rPr>
              <w:t>Implemented</w:t>
            </w:r>
          </w:p>
        </w:tc>
      </w:tr>
      <w:tr>
        <w:tc>
          <w:tcPr>
            <w:tcW w:type="dxa" w:w="5170"/>
            <w:vAlign w:val="center"/>
          </w:tcPr>
          <w:p>
            <w:r>
              <w:rPr>
                <w:sz w:val="16"/>
              </w:rPr>
              <w:t>Deterministic base policy composition</w:t>
            </w:r>
          </w:p>
        </w:tc>
        <w:tc>
          <w:tcPr>
            <w:tcW w:type="dxa" w:w="5170"/>
            <w:vAlign w:val="center"/>
          </w:tcPr>
          <w:p>
            <w:r>
              <w:rPr>
                <w:sz w:val="16"/>
              </w:rPr>
              <w:t>Implemented</w:t>
            </w:r>
          </w:p>
        </w:tc>
      </w:tr>
      <w:tr>
        <w:tc>
          <w:tcPr>
            <w:tcW w:type="dxa" w:w="5170"/>
            <w:vAlign w:val="center"/>
          </w:tcPr>
          <w:p>
            <w:r>
              <w:rPr>
                <w:sz w:val="16"/>
              </w:rPr>
              <w:t>Analysis method allowlist</w:t>
            </w:r>
          </w:p>
        </w:tc>
        <w:tc>
          <w:tcPr>
            <w:tcW w:type="dxa" w:w="5170"/>
            <w:vAlign w:val="center"/>
          </w:tcPr>
          <w:p>
            <w:r>
              <w:rPr>
                <w:sz w:val="16"/>
              </w:rPr>
              <w:t>Implemented</w:t>
            </w:r>
          </w:p>
        </w:tc>
      </w:tr>
      <w:tr>
        <w:tc>
          <w:tcPr>
            <w:tcW w:type="dxa" w:w="5170"/>
            <w:vAlign w:val="center"/>
          </w:tcPr>
          <w:p>
            <w:r>
              <w:rPr>
                <w:sz w:val="16"/>
              </w:rPr>
              <w:t>Corroboration/evidence sufficiency</w:t>
            </w:r>
          </w:p>
        </w:tc>
        <w:tc>
          <w:tcPr>
            <w:tcW w:type="dxa" w:w="5170"/>
            <w:vAlign w:val="center"/>
          </w:tcPr>
          <w:p>
            <w:r>
              <w:rPr>
                <w:sz w:val="16"/>
              </w:rPr>
              <w:t>Implemented</w:t>
            </w:r>
          </w:p>
        </w:tc>
      </w:tr>
      <w:tr>
        <w:tc>
          <w:tcPr>
            <w:tcW w:type="dxa" w:w="5170"/>
            <w:vAlign w:val="center"/>
          </w:tcPr>
          <w:p>
            <w:r>
              <w:rPr>
                <w:sz w:val="16"/>
              </w:rPr>
              <w:t>No-infer-missing</w:t>
            </w:r>
          </w:p>
        </w:tc>
        <w:tc>
          <w:tcPr>
            <w:tcW w:type="dxa" w:w="5170"/>
            <w:vAlign w:val="center"/>
          </w:tcPr>
          <w:p>
            <w:r>
              <w:rPr>
                <w:sz w:val="16"/>
              </w:rPr>
              <w:t>Implemented</w:t>
            </w:r>
          </w:p>
        </w:tc>
      </w:tr>
      <w:tr>
        <w:tc>
          <w:tcPr>
            <w:tcW w:type="dxa" w:w="5170"/>
            <w:vAlign w:val="center"/>
          </w:tcPr>
          <w:p>
            <w:r>
              <w:rPr>
                <w:sz w:val="16"/>
              </w:rPr>
              <w:t>Human validation inside Analysis</w:t>
            </w:r>
          </w:p>
        </w:tc>
        <w:tc>
          <w:tcPr>
            <w:tcW w:type="dxa" w:w="5170"/>
            <w:vAlign w:val="center"/>
          </w:tcPr>
          <w:p>
            <w:r>
              <w:rPr>
                <w:sz w:val="16"/>
              </w:rPr>
              <w:t>Implemented basic gate</w:t>
            </w:r>
          </w:p>
        </w:tc>
      </w:tr>
      <w:tr>
        <w:tc>
          <w:tcPr>
            <w:tcW w:type="dxa" w:w="5170"/>
            <w:vAlign w:val="center"/>
          </w:tcPr>
          <w:p>
            <w:r>
              <w:rPr>
                <w:sz w:val="16"/>
              </w:rPr>
              <w:t>INFORM / DECIDE / ACT</w:t>
            </w:r>
          </w:p>
        </w:tc>
        <w:tc>
          <w:tcPr>
            <w:tcW w:type="dxa" w:w="5170"/>
            <w:vAlign w:val="center"/>
          </w:tcPr>
          <w:p>
            <w:r>
              <w:rPr>
                <w:sz w:val="16"/>
              </w:rPr>
              <w:t>Implemented</w:t>
            </w:r>
          </w:p>
        </w:tc>
      </w:tr>
      <w:tr>
        <w:tc>
          <w:tcPr>
            <w:tcW w:type="dxa" w:w="5170"/>
            <w:vAlign w:val="center"/>
          </w:tcPr>
          <w:p>
            <w:r>
              <w:rPr>
                <w:sz w:val="16"/>
              </w:rPr>
              <w:t>DECIDE -&gt; ACT</w:t>
            </w:r>
          </w:p>
        </w:tc>
        <w:tc>
          <w:tcPr>
            <w:tcW w:type="dxa" w:w="5170"/>
            <w:vAlign w:val="center"/>
          </w:tcPr>
          <w:p>
            <w:r>
              <w:rPr>
                <w:sz w:val="16"/>
              </w:rPr>
              <w:t>Implemented</w:t>
            </w:r>
          </w:p>
        </w:tc>
      </w:tr>
      <w:tr>
        <w:tc>
          <w:tcPr>
            <w:tcW w:type="dxa" w:w="5170"/>
            <w:vAlign w:val="center"/>
          </w:tcPr>
          <w:p>
            <w:r>
              <w:rPr>
                <w:sz w:val="16"/>
              </w:rPr>
              <w:t>Capability-grant action authorization</w:t>
            </w:r>
          </w:p>
        </w:tc>
        <w:tc>
          <w:tcPr>
            <w:tcW w:type="dxa" w:w="5170"/>
            <w:vAlign w:val="center"/>
          </w:tcPr>
          <w:p>
            <w:r>
              <w:t>Implemented basic action/case/value/expiry checks</w:t>
            </w:r>
          </w:p>
        </w:tc>
      </w:tr>
      <w:tr>
        <w:tc>
          <w:tcPr>
            <w:tcW w:type="dxa" w:w="5170"/>
            <w:vAlign w:val="center"/>
          </w:tcPr>
          <w:p>
            <w:r>
              <w:rPr>
                <w:sz w:val="16"/>
              </w:rPr>
              <w:t>Live API/tool enforcement</w:t>
            </w:r>
          </w:p>
        </w:tc>
        <w:tc>
          <w:tcPr>
            <w:tcW w:type="dxa" w:w="5170"/>
            <w:vAlign w:val="center"/>
          </w:tcPr>
          <w:p>
            <w:r>
              <w:rPr>
                <w:sz w:val="16"/>
              </w:rPr>
              <w:t>Not implemented; external integration</w:t>
            </w:r>
          </w:p>
        </w:tc>
      </w:tr>
      <w:tr>
        <w:tc>
          <w:tcPr>
            <w:tcW w:type="dxa" w:w="5170"/>
            <w:vAlign w:val="center"/>
          </w:tcPr>
          <w:p>
            <w:r>
              <w:rPr>
                <w:sz w:val="16"/>
              </w:rPr>
              <w:t>Production IAM/workflow/sandbox</w:t>
            </w:r>
          </w:p>
        </w:tc>
        <w:tc>
          <w:tcPr>
            <w:tcW w:type="dxa" w:w="5170"/>
            <w:vAlign w:val="center"/>
          </w:tcPr>
          <w:p>
            <w:r>
              <w:rPr>
                <w:sz w:val="16"/>
              </w:rPr>
              <w:t>Not implemented; external enforcement</w:t>
            </w:r>
          </w:p>
        </w:tc>
      </w:tr>
      <w:tr>
        <w:tc>
          <w:tcPr>
            <w:tcW w:type="dxa" w:w="5170"/>
            <w:vAlign w:val="center"/>
          </w:tcPr>
          <w:p>
            <w:r>
              <w:rPr>
                <w:sz w:val="16"/>
              </w:rPr>
              <w:t>Full independent implementation portability</w:t>
            </w:r>
          </w:p>
        </w:tc>
        <w:tc>
          <w:tcPr>
            <w:tcW w:type="dxa" w:w="5170"/>
            <w:vAlign w:val="center"/>
          </w:tcPr>
          <w:p>
            <w:r>
              <w:rPr>
                <w:sz w:val="16"/>
              </w:rPr>
              <w:t>Not yet established</w:t>
            </w:r>
          </w:p>
        </w:tc>
      </w:tr>
      <w:tr>
        <w:tc>
          <w:tcPr>
            <w:tcW w:type="dxa" w:w="5170"/>
          </w:tcPr>
          <w:p>
            <w:r>
              <w:t>Three-stage pipeline policy validation</w:t>
            </w:r>
          </w:p>
        </w:tc>
        <w:tc>
          <w:tcPr>
            <w:tcW w:type="dxa" w:w="5170"/>
          </w:tcPr>
          <w:p>
            <w:r>
              <w:t>Implemented schema + embedded core validation</w:t>
            </w:r>
          </w:p>
        </w:tc>
      </w:tr>
      <w:tr>
        <w:tc>
          <w:tcPr>
            <w:tcW w:type="dxa" w:w="5170"/>
          </w:tcPr>
          <w:p>
            <w:r>
              <w:t>Stage-qualified analytical transformations</w:t>
            </w:r>
          </w:p>
        </w:tc>
        <w:tc>
          <w:tcPr>
            <w:tcW w:type="dxa" w:w="5170"/>
          </w:tcPr>
          <w:p>
            <w:r>
              <w:t>Partial; legacy collection operations retained in core engine</w:t>
            </w:r>
          </w:p>
        </w:tc>
      </w:tr>
      <w:tr>
        <w:tc>
          <w:tcPr>
            <w:tcW w:type="dxa" w:w="5170"/>
          </w:tcPr>
          <w:p>
            <w:r>
              <w:t>Pipeline-native model/region stage placement</w:t>
            </w:r>
          </w:p>
        </w:tc>
        <w:tc>
          <w:tcPr>
            <w:tcW w:type="dxa" w:w="5170"/>
          </w:tcPr>
          <w:p>
            <w:r>
              <w:t>Partial; core-compatible routing reused</w:t>
            </w:r>
          </w:p>
        </w:tc>
      </w:tr>
    </w:tbl>
    <w:p>
      <w:pPr>
        <w:pStyle w:val="Heading1"/>
      </w:pPr>
      <w:r>
        <w:t>D.4 CONFORMANCE RESULTS</w:t>
      </w:r>
    </w:p>
    <w:p>
      <w:r>
        <w:t>The packaged software test suite reports 10/10 passing tests. The normative/reference conformance runner reports 25/25 passing checks.</w:t>
      </w:r>
    </w:p>
    <w:tbl>
      <w:tblPr>
        <w:tblStyle w:val="TableGrid"/>
        <w:tblW w:type="auto" w:w="0"/>
        <w:jc w:val="center"/>
        <w:tblLook w:firstColumn="1" w:firstRow="1" w:lastColumn="0" w:lastRow="0" w:noHBand="0" w:noVBand="1" w:val="04A0"/>
      </w:tblPr>
      <w:tblGrid>
        <w:gridCol w:w="5170"/>
        <w:gridCol w:w="5170"/>
      </w:tblGrid>
      <w:tr>
        <w:trPr>
          <w:tblHeader w:val="true"/>
        </w:trPr>
        <w:tc>
          <w:tcPr>
            <w:tcW w:type="dxa" w:w="5170"/>
            <w:shd w:fill="EDEDED"/>
            <w:vAlign w:val="center"/>
          </w:tcPr>
          <w:p>
            <w:r>
              <w:rPr>
                <w:b/>
                <w:sz w:val="15"/>
              </w:rPr>
              <w:t>Check</w:t>
            </w:r>
          </w:p>
        </w:tc>
        <w:tc>
          <w:tcPr>
            <w:tcW w:type="dxa" w:w="5170"/>
            <w:shd w:fill="EDEDED"/>
            <w:vAlign w:val="center"/>
          </w:tcPr>
          <w:p>
            <w:r>
              <w:rPr>
                <w:b/>
                <w:sz w:val="15"/>
              </w:rPr>
              <w:t>Result</w:t>
            </w:r>
          </w:p>
        </w:tc>
      </w:tr>
      <w:tr>
        <w:tc>
          <w:tcPr>
            <w:tcW w:type="dxa" w:w="5170"/>
            <w:vAlign w:val="center"/>
          </w:tcPr>
          <w:p>
            <w:r>
              <w:rPr>
                <w:sz w:val="15"/>
              </w:rPr>
              <w:t>C01 Exclusion safety</w:t>
            </w:r>
          </w:p>
        </w:tc>
        <w:tc>
          <w:tcPr>
            <w:tcW w:type="dxa" w:w="5170"/>
            <w:vAlign w:val="center"/>
          </w:tcPr>
          <w:p>
            <w:r>
              <w:rPr>
                <w:sz w:val="15"/>
              </w:rPr>
              <w:t>PASS</w:t>
            </w:r>
          </w:p>
        </w:tc>
      </w:tr>
      <w:tr>
        <w:tc>
          <w:tcPr>
            <w:tcW w:type="dxa" w:w="5170"/>
            <w:vAlign w:val="center"/>
          </w:tcPr>
          <w:p>
            <w:r>
              <w:rPr>
                <w:sz w:val="15"/>
              </w:rPr>
              <w:t>C02 Quarantine isolation</w:t>
            </w:r>
          </w:p>
        </w:tc>
        <w:tc>
          <w:tcPr>
            <w:tcW w:type="dxa" w:w="5170"/>
            <w:vAlign w:val="center"/>
          </w:tcPr>
          <w:p>
            <w:r>
              <w:rPr>
                <w:sz w:val="15"/>
              </w:rPr>
              <w:t>PASS</w:t>
            </w:r>
          </w:p>
        </w:tc>
      </w:tr>
      <w:tr>
        <w:tc>
          <w:tcPr>
            <w:tcW w:type="dxa" w:w="5170"/>
            <w:vAlign w:val="center"/>
          </w:tcPr>
          <w:p>
            <w:r>
              <w:rPr>
                <w:sz w:val="15"/>
              </w:rPr>
              <w:t>C03 Embargo enforcement</w:t>
            </w:r>
          </w:p>
        </w:tc>
        <w:tc>
          <w:tcPr>
            <w:tcW w:type="dxa" w:w="5170"/>
            <w:vAlign w:val="center"/>
          </w:tcPr>
          <w:p>
            <w:r>
              <w:rPr>
                <w:sz w:val="15"/>
              </w:rPr>
              <w:t>PASS</w:t>
            </w:r>
          </w:p>
        </w:tc>
      </w:tr>
      <w:tr>
        <w:tc>
          <w:tcPr>
            <w:tcW w:type="dxa" w:w="5170"/>
            <w:vAlign w:val="center"/>
          </w:tcPr>
          <w:p>
            <w:r>
              <w:rPr>
                <w:sz w:val="15"/>
              </w:rPr>
              <w:t>C04 Supersession</w:t>
            </w:r>
          </w:p>
        </w:tc>
        <w:tc>
          <w:tcPr>
            <w:tcW w:type="dxa" w:w="5170"/>
            <w:vAlign w:val="center"/>
          </w:tcPr>
          <w:p>
            <w:r>
              <w:rPr>
                <w:sz w:val="15"/>
              </w:rPr>
              <w:t>PASS</w:t>
            </w:r>
          </w:p>
        </w:tc>
      </w:tr>
      <w:tr>
        <w:tc>
          <w:tcPr>
            <w:tcW w:type="dxa" w:w="5170"/>
            <w:vAlign w:val="center"/>
          </w:tcPr>
          <w:p>
            <w:r>
              <w:rPr>
                <w:sz w:val="15"/>
              </w:rPr>
              <w:t>C05 Priority/authority separation</w:t>
            </w:r>
          </w:p>
        </w:tc>
        <w:tc>
          <w:tcPr>
            <w:tcW w:type="dxa" w:w="5170"/>
            <w:vAlign w:val="center"/>
          </w:tcPr>
          <w:p>
            <w:r>
              <w:rPr>
                <w:sz w:val="15"/>
              </w:rPr>
              <w:t>PASS</w:t>
            </w:r>
          </w:p>
        </w:tc>
      </w:tr>
      <w:tr>
        <w:tc>
          <w:tcPr>
            <w:tcW w:type="dxa" w:w="5170"/>
            <w:vAlign w:val="center"/>
          </w:tcPr>
          <w:p>
            <w:r>
              <w:rPr>
                <w:sz w:val="15"/>
              </w:rPr>
              <w:t>C06 Applicability gating</w:t>
            </w:r>
          </w:p>
        </w:tc>
        <w:tc>
          <w:tcPr>
            <w:tcW w:type="dxa" w:w="5170"/>
            <w:vAlign w:val="center"/>
          </w:tcPr>
          <w:p>
            <w:r>
              <w:rPr>
                <w:sz w:val="15"/>
              </w:rPr>
              <w:t>PASS</w:t>
            </w:r>
          </w:p>
        </w:tc>
      </w:tr>
      <w:tr>
        <w:tc>
          <w:tcPr>
            <w:tcW w:type="dxa" w:w="5170"/>
            <w:vAlign w:val="center"/>
          </w:tcPr>
          <w:p>
            <w:r>
              <w:rPr>
                <w:sz w:val="15"/>
              </w:rPr>
              <w:t>C07 Model eligibility</w:t>
            </w:r>
          </w:p>
        </w:tc>
        <w:tc>
          <w:tcPr>
            <w:tcW w:type="dxa" w:w="5170"/>
            <w:vAlign w:val="center"/>
          </w:tcPr>
          <w:p>
            <w:r>
              <w:rPr>
                <w:sz w:val="15"/>
              </w:rPr>
              <w:t>PASS</w:t>
            </w:r>
          </w:p>
        </w:tc>
      </w:tr>
      <w:tr>
        <w:tc>
          <w:tcPr>
            <w:tcW w:type="dxa" w:w="5170"/>
            <w:vAlign w:val="center"/>
          </w:tcPr>
          <w:p>
            <w:r>
              <w:rPr>
                <w:sz w:val="15"/>
              </w:rPr>
              <w:t>C08 Region safety</w:t>
            </w:r>
          </w:p>
        </w:tc>
        <w:tc>
          <w:tcPr>
            <w:tcW w:type="dxa" w:w="5170"/>
            <w:vAlign w:val="center"/>
          </w:tcPr>
          <w:p>
            <w:r>
              <w:rPr>
                <w:sz w:val="15"/>
              </w:rPr>
              <w:t>PASS</w:t>
            </w:r>
          </w:p>
        </w:tc>
      </w:tr>
      <w:tr>
        <w:tc>
          <w:tcPr>
            <w:tcW w:type="dxa" w:w="5170"/>
            <w:vAlign w:val="center"/>
          </w:tcPr>
          <w:p>
            <w:r>
              <w:rPr>
                <w:sz w:val="15"/>
              </w:rPr>
              <w:t>C09 Fallback safety</w:t>
            </w:r>
          </w:p>
        </w:tc>
        <w:tc>
          <w:tcPr>
            <w:tcW w:type="dxa" w:w="5170"/>
            <w:vAlign w:val="center"/>
          </w:tcPr>
          <w:p>
            <w:r>
              <w:rPr>
                <w:sz w:val="15"/>
              </w:rPr>
              <w:t>PASS</w:t>
            </w:r>
          </w:p>
        </w:tc>
      </w:tr>
      <w:tr>
        <w:tc>
          <w:tcPr>
            <w:tcW w:type="dxa" w:w="5170"/>
            <w:vAlign w:val="center"/>
          </w:tcPr>
          <w:p>
            <w:r>
              <w:rPr>
                <w:sz w:val="15"/>
              </w:rPr>
              <w:t>C10 Mandatory evidence</w:t>
            </w:r>
          </w:p>
        </w:tc>
        <w:tc>
          <w:tcPr>
            <w:tcW w:type="dxa" w:w="5170"/>
            <w:vAlign w:val="center"/>
          </w:tcPr>
          <w:p>
            <w:r>
              <w:rPr>
                <w:sz w:val="15"/>
              </w:rPr>
              <w:t>PASS</w:t>
            </w:r>
          </w:p>
        </w:tc>
      </w:tr>
      <w:tr>
        <w:tc>
          <w:tcPr>
            <w:tcW w:type="dxa" w:w="5170"/>
            <w:vAlign w:val="center"/>
          </w:tcPr>
          <w:p>
            <w:r>
              <w:rPr>
                <w:sz w:val="15"/>
              </w:rPr>
              <w:t>C11 Conflict preservation</w:t>
            </w:r>
          </w:p>
        </w:tc>
        <w:tc>
          <w:tcPr>
            <w:tcW w:type="dxa" w:w="5170"/>
            <w:vAlign w:val="center"/>
          </w:tcPr>
          <w:p>
            <w:r>
              <w:rPr>
                <w:sz w:val="15"/>
              </w:rPr>
              <w:t>PASS</w:t>
            </w:r>
          </w:p>
        </w:tc>
      </w:tr>
      <w:tr>
        <w:tc>
          <w:tcPr>
            <w:tcW w:type="dxa" w:w="5170"/>
            <w:vAlign w:val="center"/>
          </w:tcPr>
          <w:p>
            <w:r>
              <w:rPr>
                <w:sz w:val="15"/>
              </w:rPr>
              <w:t>C12 Derived restriction propagation</w:t>
            </w:r>
          </w:p>
        </w:tc>
        <w:tc>
          <w:tcPr>
            <w:tcW w:type="dxa" w:w="5170"/>
            <w:vAlign w:val="center"/>
          </w:tcPr>
          <w:p>
            <w:r>
              <w:rPr>
                <w:sz w:val="15"/>
              </w:rPr>
              <w:t>PASS</w:t>
            </w:r>
          </w:p>
        </w:tc>
      </w:tr>
      <w:tr>
        <w:tc>
          <w:tcPr>
            <w:tcW w:type="dxa" w:w="5170"/>
            <w:vAlign w:val="center"/>
          </w:tcPr>
          <w:p>
            <w:r>
              <w:rPr>
                <w:sz w:val="15"/>
              </w:rPr>
              <w:t>C13 Audit completeness</w:t>
            </w:r>
          </w:p>
        </w:tc>
        <w:tc>
          <w:tcPr>
            <w:tcW w:type="dxa" w:w="5170"/>
            <w:vAlign w:val="center"/>
          </w:tcPr>
          <w:p>
            <w:r>
              <w:rPr>
                <w:sz w:val="15"/>
              </w:rPr>
              <w:t>PASS</w:t>
            </w:r>
          </w:p>
        </w:tc>
      </w:tr>
      <w:tr>
        <w:tc>
          <w:tcPr>
            <w:tcW w:type="dxa" w:w="5170"/>
            <w:vAlign w:val="center"/>
          </w:tcPr>
          <w:p>
            <w:r>
              <w:rPr>
                <w:sz w:val="15"/>
              </w:rPr>
              <w:t>C14 Deterministic replay</w:t>
            </w:r>
          </w:p>
        </w:tc>
        <w:tc>
          <w:tcPr>
            <w:tcW w:type="dxa" w:w="5170"/>
            <w:vAlign w:val="center"/>
          </w:tcPr>
          <w:p>
            <w:r>
              <w:rPr>
                <w:sz w:val="15"/>
              </w:rPr>
              <w:t>PASS</w:t>
            </w:r>
          </w:p>
        </w:tc>
      </w:tr>
      <w:tr>
        <w:tc>
          <w:tcPr>
            <w:tcW w:type="dxa" w:w="5170"/>
            <w:vAlign w:val="center"/>
          </w:tcPr>
          <w:p>
            <w:r>
              <w:rPr>
                <w:sz w:val="15"/>
              </w:rPr>
              <w:t>C15 Portable-subset equivalence</w:t>
            </w:r>
          </w:p>
        </w:tc>
        <w:tc>
          <w:tcPr>
            <w:tcW w:type="dxa" w:w="5170"/>
            <w:vAlign w:val="center"/>
          </w:tcPr>
          <w:p>
            <w:r>
              <w:rPr>
                <w:sz w:val="15"/>
              </w:rPr>
              <w:t>PASS</w:t>
            </w:r>
          </w:p>
        </w:tc>
      </w:tr>
      <w:tr>
        <w:tc>
          <w:tcPr>
            <w:tcW w:type="dxa" w:w="5170"/>
            <w:vAlign w:val="center"/>
          </w:tcPr>
          <w:p>
            <w:r>
              <w:rPr>
                <w:sz w:val="15"/>
              </w:rPr>
              <w:t>C16 Deterministic policy composition</w:t>
            </w:r>
          </w:p>
        </w:tc>
        <w:tc>
          <w:tcPr>
            <w:tcW w:type="dxa" w:w="5170"/>
            <w:vAlign w:val="center"/>
          </w:tcPr>
          <w:p>
            <w:r>
              <w:rPr>
                <w:sz w:val="15"/>
              </w:rPr>
              <w:t>PASS</w:t>
            </w:r>
          </w:p>
        </w:tc>
      </w:tr>
      <w:tr>
        <w:tc>
          <w:tcPr>
            <w:tcW w:type="dxa" w:w="5170"/>
            <w:vAlign w:val="center"/>
          </w:tcPr>
          <w:p>
            <w:r>
              <w:rPr>
                <w:sz w:val="15"/>
              </w:rPr>
              <w:t>C17 Analysis method governance</w:t>
            </w:r>
          </w:p>
        </w:tc>
        <w:tc>
          <w:tcPr>
            <w:tcW w:type="dxa" w:w="5170"/>
            <w:vAlign w:val="center"/>
          </w:tcPr>
          <w:p>
            <w:r>
              <w:rPr>
                <w:sz w:val="15"/>
              </w:rPr>
              <w:t>PASS</w:t>
            </w:r>
          </w:p>
        </w:tc>
      </w:tr>
      <w:tr>
        <w:tc>
          <w:tcPr>
            <w:tcW w:type="dxa" w:w="5170"/>
            <w:vAlign w:val="center"/>
          </w:tcPr>
          <w:p>
            <w:r>
              <w:rPr>
                <w:sz w:val="15"/>
              </w:rPr>
              <w:t>C18 No-infer-missing</w:t>
            </w:r>
          </w:p>
        </w:tc>
        <w:tc>
          <w:tcPr>
            <w:tcW w:type="dxa" w:w="5170"/>
            <w:vAlign w:val="center"/>
          </w:tcPr>
          <w:p>
            <w:r>
              <w:rPr>
                <w:sz w:val="15"/>
              </w:rPr>
              <w:t>PASS</w:t>
            </w:r>
          </w:p>
        </w:tc>
      </w:tr>
      <w:tr>
        <w:tc>
          <w:tcPr>
            <w:tcW w:type="dxa" w:w="5170"/>
            <w:vAlign w:val="center"/>
          </w:tcPr>
          <w:p>
            <w:r>
              <w:rPr>
                <w:sz w:val="15"/>
              </w:rPr>
              <w:t>C19 Analysis corroboration gate</w:t>
            </w:r>
          </w:p>
        </w:tc>
        <w:tc>
          <w:tcPr>
            <w:tcW w:type="dxa" w:w="5170"/>
            <w:vAlign w:val="center"/>
          </w:tcPr>
          <w:p>
            <w:r>
              <w:rPr>
                <w:sz w:val="15"/>
              </w:rPr>
              <w:t>PASS</w:t>
            </w:r>
          </w:p>
        </w:tc>
      </w:tr>
      <w:tr>
        <w:tc>
          <w:tcPr>
            <w:tcW w:type="dxa" w:w="5170"/>
            <w:vAlign w:val="center"/>
          </w:tcPr>
          <w:p>
            <w:r>
              <w:rPr>
                <w:sz w:val="15"/>
              </w:rPr>
              <w:t>C20 INFORM disposition</w:t>
            </w:r>
          </w:p>
        </w:tc>
        <w:tc>
          <w:tcPr>
            <w:tcW w:type="dxa" w:w="5170"/>
            <w:vAlign w:val="center"/>
          </w:tcPr>
          <w:p>
            <w:r>
              <w:rPr>
                <w:sz w:val="15"/>
              </w:rPr>
              <w:t>PASS</w:t>
            </w:r>
          </w:p>
        </w:tc>
      </w:tr>
      <w:tr>
        <w:tc>
          <w:tcPr>
            <w:tcW w:type="dxa" w:w="5170"/>
            <w:vAlign w:val="center"/>
          </w:tcPr>
          <w:p>
            <w:r>
              <w:rPr>
                <w:sz w:val="15"/>
              </w:rPr>
              <w:t>C21 DECIDE disposition</w:t>
            </w:r>
          </w:p>
        </w:tc>
        <w:tc>
          <w:tcPr>
            <w:tcW w:type="dxa" w:w="5170"/>
            <w:vAlign w:val="center"/>
          </w:tcPr>
          <w:p>
            <w:r>
              <w:rPr>
                <w:sz w:val="15"/>
              </w:rPr>
              <w:t>PASS</w:t>
            </w:r>
          </w:p>
        </w:tc>
      </w:tr>
      <w:tr>
        <w:tc>
          <w:tcPr>
            <w:tcW w:type="dxa" w:w="5170"/>
            <w:vAlign w:val="center"/>
          </w:tcPr>
          <w:p>
            <w:r>
              <w:rPr>
                <w:sz w:val="15"/>
              </w:rPr>
              <w:t>C22 ACT capability authorization</w:t>
            </w:r>
          </w:p>
        </w:tc>
        <w:tc>
          <w:tcPr>
            <w:tcW w:type="dxa" w:w="5170"/>
            <w:vAlign w:val="center"/>
          </w:tcPr>
          <w:p>
            <w:r>
              <w:rPr>
                <w:sz w:val="15"/>
              </w:rPr>
              <w:t>PASS</w:t>
            </w:r>
          </w:p>
        </w:tc>
      </w:tr>
      <w:tr>
        <w:tc>
          <w:tcPr>
            <w:tcW w:type="dxa" w:w="5170"/>
            <w:vAlign w:val="center"/>
          </w:tcPr>
          <w:p>
            <w:r>
              <w:rPr>
                <w:sz w:val="15"/>
              </w:rPr>
              <w:t>C23 DECIDE-to-ACT transition</w:t>
            </w:r>
          </w:p>
        </w:tc>
        <w:tc>
          <w:tcPr>
            <w:tcW w:type="dxa" w:w="5170"/>
            <w:vAlign w:val="center"/>
          </w:tcPr>
          <w:p>
            <w:r>
              <w:rPr>
                <w:sz w:val="15"/>
              </w:rPr>
              <w:t>PASS</w:t>
            </w:r>
          </w:p>
        </w:tc>
      </w:tr>
      <w:tr>
        <w:tc>
          <w:tcPr>
            <w:tcW w:type="dxa" w:w="5170"/>
            <w:vAlign w:val="center"/>
          </w:tcPr>
          <w:p>
            <w:r>
              <w:rPr>
                <w:sz w:val="15"/>
              </w:rPr>
              <w:t>C24 End-to-end audit stage coverage</w:t>
            </w:r>
          </w:p>
        </w:tc>
        <w:tc>
          <w:tcPr>
            <w:tcW w:type="dxa" w:w="5170"/>
            <w:vAlign w:val="center"/>
          </w:tcPr>
          <w:p>
            <w:r>
              <w:rPr>
                <w:sz w:val="15"/>
              </w:rPr>
              <w:t>PASS</w:t>
            </w:r>
          </w:p>
        </w:tc>
      </w:tr>
      <w:tr>
        <w:tc>
          <w:tcPr>
            <w:tcW w:type="dxa" w:w="5170"/>
          </w:tcPr>
          <w:p>
            <w:r>
              <w:t>C25 Task-scoped action grant</w:t>
            </w:r>
          </w:p>
        </w:tc>
        <w:tc>
          <w:tcPr>
            <w:tcW w:type="dxa" w:w="5170"/>
          </w:tcPr>
          <w:p>
            <w:r>
              <w:t>PASS</w:t>
            </w:r>
          </w:p>
        </w:tc>
      </w:tr>
    </w:tbl>
    <w:p>
      <w:pPr>
        <w:pStyle w:val="Heading1"/>
      </w:pPr>
      <w:r>
        <w:t>D.5 CORE RUNTIME BENCHMARK</w:t>
      </w:r>
    </w:p>
    <w:p>
      <w:r>
        <w:t>The benchmark measures only deterministic governance-engine overhead. It excludes retrieval, model inference, network latency, connector I/O, token generation, external persistence, and execution of real actions. Smaller workloads use 20 measured runs after warmup; the largest 5,000-object and 150-rule workloads use 12 measured runs. Median and interquartile range (IQR) are used as the primary descriptive statistics.</w:t>
      </w:r>
    </w:p>
    <w:tbl>
      <w:tblPr>
        <w:tblStyle w:val="TableGrid"/>
        <w:tblW w:type="auto" w:w="0"/>
        <w:jc w:val="center"/>
        <w:tblLook w:firstColumn="1" w:firstRow="1" w:lastColumn="0" w:lastRow="0" w:noHBand="0" w:noVBand="1" w:val="04A0"/>
      </w:tblPr>
      <w:tblGrid>
        <w:gridCol w:w="2068"/>
        <w:gridCol w:w="2068"/>
        <w:gridCol w:w="2068"/>
        <w:gridCol w:w="2068"/>
        <w:gridCol w:w="2068"/>
      </w:tblGrid>
      <w:tr>
        <w:trPr>
          <w:tblHeader w:val="true"/>
        </w:trPr>
        <w:tc>
          <w:tcPr>
            <w:tcW w:type="dxa" w:w="2068"/>
            <w:shd w:fill="EDEDED"/>
            <w:vAlign w:val="center"/>
          </w:tcPr>
          <w:p>
            <w:r>
              <w:rPr>
                <w:b/>
                <w:sz w:val="16"/>
              </w:rPr>
              <w:t>Objects</w:t>
            </w:r>
          </w:p>
        </w:tc>
        <w:tc>
          <w:tcPr>
            <w:tcW w:type="dxa" w:w="2068"/>
            <w:shd w:fill="EDEDED"/>
            <w:vAlign w:val="center"/>
          </w:tcPr>
          <w:p>
            <w:r>
              <w:rPr>
                <w:b/>
                <w:sz w:val="16"/>
              </w:rPr>
              <w:t>Rules</w:t>
            </w:r>
          </w:p>
        </w:tc>
        <w:tc>
          <w:tcPr>
            <w:tcW w:type="dxa" w:w="2068"/>
            <w:shd w:fill="EDEDED"/>
            <w:vAlign w:val="center"/>
          </w:tcPr>
          <w:p>
            <w:r>
              <w:rPr>
                <w:b/>
                <w:sz w:val="16"/>
              </w:rPr>
              <w:t>Runs</w:t>
            </w:r>
          </w:p>
        </w:tc>
        <w:tc>
          <w:tcPr>
            <w:tcW w:type="dxa" w:w="2068"/>
            <w:shd w:fill="EDEDED"/>
            <w:vAlign w:val="center"/>
          </w:tcPr>
          <w:p>
            <w:r>
              <w:rPr>
                <w:b/>
                <w:sz w:val="16"/>
              </w:rPr>
              <w:t>Median ms</w:t>
            </w:r>
          </w:p>
        </w:tc>
        <w:tc>
          <w:tcPr>
            <w:tcW w:type="dxa" w:w="2068"/>
            <w:shd w:fill="EDEDED"/>
            <w:vAlign w:val="center"/>
          </w:tcPr>
          <w:p>
            <w:r>
              <w:rPr>
                <w:b/>
                <w:sz w:val="16"/>
              </w:rPr>
              <w:t>IQR ms</w:t>
            </w:r>
          </w:p>
        </w:tc>
      </w:tr>
      <w:tr>
        <w:tc>
          <w:tcPr>
            <w:tcW w:type="dxa" w:w="2068"/>
            <w:vAlign w:val="center"/>
          </w:tcPr>
          <w:p>
            <w:r>
              <w:t>10</w:t>
            </w:r>
          </w:p>
        </w:tc>
        <w:tc>
          <w:tcPr>
            <w:tcW w:type="dxa" w:w="2068"/>
            <w:vAlign w:val="center"/>
          </w:tcPr>
          <w:p>
            <w:r>
              <w:t>10</w:t>
            </w:r>
          </w:p>
        </w:tc>
        <w:tc>
          <w:tcPr>
            <w:tcW w:type="dxa" w:w="2068"/>
            <w:vAlign w:val="center"/>
          </w:tcPr>
          <w:p>
            <w:r>
              <w:t>20</w:t>
            </w:r>
          </w:p>
        </w:tc>
        <w:tc>
          <w:tcPr>
            <w:tcW w:type="dxa" w:w="2068"/>
            <w:vAlign w:val="center"/>
          </w:tcPr>
          <w:p>
            <w:r>
              <w:t>0.60</w:t>
            </w:r>
          </w:p>
        </w:tc>
        <w:tc>
          <w:tcPr>
            <w:tcW w:type="dxa" w:w="2068"/>
            <w:vAlign w:val="center"/>
          </w:tcPr>
          <w:p>
            <w:r>
              <w:t>0.02</w:t>
            </w:r>
          </w:p>
        </w:tc>
      </w:tr>
      <w:tr>
        <w:tc>
          <w:tcPr>
            <w:tcW w:type="dxa" w:w="2068"/>
            <w:vAlign w:val="center"/>
          </w:tcPr>
          <w:p>
            <w:r>
              <w:t>100</w:t>
            </w:r>
          </w:p>
        </w:tc>
        <w:tc>
          <w:tcPr>
            <w:tcW w:type="dxa" w:w="2068"/>
            <w:vAlign w:val="center"/>
          </w:tcPr>
          <w:p>
            <w:r>
              <w:t>10</w:t>
            </w:r>
          </w:p>
        </w:tc>
        <w:tc>
          <w:tcPr>
            <w:tcW w:type="dxa" w:w="2068"/>
            <w:vAlign w:val="center"/>
          </w:tcPr>
          <w:p>
            <w:r>
              <w:t>20</w:t>
            </w:r>
          </w:p>
        </w:tc>
        <w:tc>
          <w:tcPr>
            <w:tcW w:type="dxa" w:w="2068"/>
            <w:vAlign w:val="center"/>
          </w:tcPr>
          <w:p>
            <w:r>
              <w:t>4.79</w:t>
            </w:r>
          </w:p>
        </w:tc>
        <w:tc>
          <w:tcPr>
            <w:tcW w:type="dxa" w:w="2068"/>
            <w:vAlign w:val="center"/>
          </w:tcPr>
          <w:p>
            <w:r>
              <w:t>0.16</w:t>
            </w:r>
          </w:p>
        </w:tc>
      </w:tr>
      <w:tr>
        <w:tc>
          <w:tcPr>
            <w:tcW w:type="dxa" w:w="2068"/>
            <w:vAlign w:val="center"/>
          </w:tcPr>
          <w:p>
            <w:r>
              <w:t>1000</w:t>
            </w:r>
          </w:p>
        </w:tc>
        <w:tc>
          <w:tcPr>
            <w:tcW w:type="dxa" w:w="2068"/>
            <w:vAlign w:val="center"/>
          </w:tcPr>
          <w:p>
            <w:r>
              <w:t>10</w:t>
            </w:r>
          </w:p>
        </w:tc>
        <w:tc>
          <w:tcPr>
            <w:tcW w:type="dxa" w:w="2068"/>
            <w:vAlign w:val="center"/>
          </w:tcPr>
          <w:p>
            <w:r>
              <w:t>20</w:t>
            </w:r>
          </w:p>
        </w:tc>
        <w:tc>
          <w:tcPr>
            <w:tcW w:type="dxa" w:w="2068"/>
            <w:vAlign w:val="center"/>
          </w:tcPr>
          <w:p>
            <w:r>
              <w:t>48.35</w:t>
            </w:r>
          </w:p>
        </w:tc>
        <w:tc>
          <w:tcPr>
            <w:tcW w:type="dxa" w:w="2068"/>
            <w:vAlign w:val="center"/>
          </w:tcPr>
          <w:p>
            <w:r>
              <w:t>2.31</w:t>
            </w:r>
          </w:p>
        </w:tc>
      </w:tr>
      <w:tr>
        <w:tc>
          <w:tcPr>
            <w:tcW w:type="dxa" w:w="2068"/>
            <w:vAlign w:val="center"/>
          </w:tcPr>
          <w:p>
            <w:r>
              <w:t>5000</w:t>
            </w:r>
          </w:p>
        </w:tc>
        <w:tc>
          <w:tcPr>
            <w:tcW w:type="dxa" w:w="2068"/>
            <w:vAlign w:val="center"/>
          </w:tcPr>
          <w:p>
            <w:r>
              <w:t>10</w:t>
            </w:r>
          </w:p>
        </w:tc>
        <w:tc>
          <w:tcPr>
            <w:tcW w:type="dxa" w:w="2068"/>
            <w:vAlign w:val="center"/>
          </w:tcPr>
          <w:p>
            <w:r>
              <w:t>12</w:t>
            </w:r>
          </w:p>
        </w:tc>
        <w:tc>
          <w:tcPr>
            <w:tcW w:type="dxa" w:w="2068"/>
            <w:vAlign w:val="center"/>
          </w:tcPr>
          <w:p>
            <w:r>
              <w:t>227.29</w:t>
            </w:r>
          </w:p>
        </w:tc>
        <w:tc>
          <w:tcPr>
            <w:tcW w:type="dxa" w:w="2068"/>
            <w:vAlign w:val="center"/>
          </w:tcPr>
          <w:p>
            <w:r>
              <w:t>12.03</w:t>
            </w:r>
          </w:p>
        </w:tc>
      </w:tr>
    </w:tbl>
    <w:p>
      <w:r/>
    </w:p>
    <w:p>
      <w:pPr>
        <w:jc w:val="center"/>
      </w:pPr>
      <w:r>
        <w:drawing>
          <wp:inline xmlns:a="http://schemas.openxmlformats.org/drawingml/2006/main" xmlns:pic="http://schemas.openxmlformats.org/drawingml/2006/picture">
            <wp:extent cx="5074920" cy="286487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74920" cy="2864874"/>
                    </a:xfrm>
                    <a:prstGeom prst="rect"/>
                  </pic:spPr>
                </pic:pic>
              </a:graphicData>
            </a:graphic>
          </wp:inline>
        </w:drawing>
      </w:r>
    </w:p>
    <w:p>
      <w:pPr>
        <w:jc w:val="center"/>
      </w:pPr>
      <w:r>
        <w:t>Fig. D-1. Object-scaling benchmark.</w:t>
      </w:r>
    </w:p>
    <w:tbl>
      <w:tblPr>
        <w:tblStyle w:val="TableGrid"/>
        <w:tblW w:type="auto" w:w="0"/>
        <w:jc w:val="center"/>
        <w:tblLook w:firstColumn="1" w:firstRow="1" w:lastColumn="0" w:lastRow="0" w:noHBand="0" w:noVBand="1" w:val="04A0"/>
      </w:tblPr>
      <w:tblGrid>
        <w:gridCol w:w="2068"/>
        <w:gridCol w:w="2068"/>
        <w:gridCol w:w="2068"/>
        <w:gridCol w:w="2068"/>
        <w:gridCol w:w="2068"/>
      </w:tblGrid>
      <w:tr>
        <w:trPr>
          <w:tblHeader w:val="true"/>
        </w:trPr>
        <w:tc>
          <w:tcPr>
            <w:tcW w:type="dxa" w:w="2068"/>
            <w:shd w:fill="EDEDED"/>
            <w:vAlign w:val="center"/>
          </w:tcPr>
          <w:p>
            <w:r>
              <w:rPr>
                <w:b/>
                <w:sz w:val="16"/>
              </w:rPr>
              <w:t>Objects</w:t>
            </w:r>
          </w:p>
        </w:tc>
        <w:tc>
          <w:tcPr>
            <w:tcW w:type="dxa" w:w="2068"/>
            <w:shd w:fill="EDEDED"/>
            <w:vAlign w:val="center"/>
          </w:tcPr>
          <w:p>
            <w:r>
              <w:rPr>
                <w:b/>
                <w:sz w:val="16"/>
              </w:rPr>
              <w:t>Rules</w:t>
            </w:r>
          </w:p>
        </w:tc>
        <w:tc>
          <w:tcPr>
            <w:tcW w:type="dxa" w:w="2068"/>
            <w:shd w:fill="EDEDED"/>
            <w:vAlign w:val="center"/>
          </w:tcPr>
          <w:p>
            <w:r>
              <w:rPr>
                <w:b/>
                <w:sz w:val="16"/>
              </w:rPr>
              <w:t>Runs</w:t>
            </w:r>
          </w:p>
        </w:tc>
        <w:tc>
          <w:tcPr>
            <w:tcW w:type="dxa" w:w="2068"/>
            <w:shd w:fill="EDEDED"/>
            <w:vAlign w:val="center"/>
          </w:tcPr>
          <w:p>
            <w:r>
              <w:rPr>
                <w:b/>
                <w:sz w:val="16"/>
              </w:rPr>
              <w:t>Median ms</w:t>
            </w:r>
          </w:p>
        </w:tc>
        <w:tc>
          <w:tcPr>
            <w:tcW w:type="dxa" w:w="2068"/>
            <w:shd w:fill="EDEDED"/>
            <w:vAlign w:val="center"/>
          </w:tcPr>
          <w:p>
            <w:r>
              <w:rPr>
                <w:b/>
                <w:sz w:val="16"/>
              </w:rPr>
              <w:t>IQR ms</w:t>
            </w:r>
          </w:p>
        </w:tc>
      </w:tr>
      <w:tr>
        <w:tc>
          <w:tcPr>
            <w:tcW w:type="dxa" w:w="2068"/>
            <w:vAlign w:val="center"/>
          </w:tcPr>
          <w:p>
            <w:r>
              <w:t>1000</w:t>
            </w:r>
          </w:p>
        </w:tc>
        <w:tc>
          <w:tcPr>
            <w:tcW w:type="dxa" w:w="2068"/>
            <w:vAlign w:val="center"/>
          </w:tcPr>
          <w:p>
            <w:r>
              <w:t>0</w:t>
            </w:r>
          </w:p>
        </w:tc>
        <w:tc>
          <w:tcPr>
            <w:tcW w:type="dxa" w:w="2068"/>
            <w:vAlign w:val="center"/>
          </w:tcPr>
          <w:p>
            <w:r>
              <w:t>20</w:t>
            </w:r>
          </w:p>
        </w:tc>
        <w:tc>
          <w:tcPr>
            <w:tcW w:type="dxa" w:w="2068"/>
            <w:vAlign w:val="center"/>
          </w:tcPr>
          <w:p>
            <w:r>
              <w:t>36.10</w:t>
            </w:r>
          </w:p>
        </w:tc>
        <w:tc>
          <w:tcPr>
            <w:tcW w:type="dxa" w:w="2068"/>
            <w:vAlign w:val="center"/>
          </w:tcPr>
          <w:p>
            <w:r>
              <w:t>0.85</w:t>
            </w:r>
          </w:p>
        </w:tc>
      </w:tr>
      <w:tr>
        <w:tc>
          <w:tcPr>
            <w:tcW w:type="dxa" w:w="2068"/>
            <w:vAlign w:val="center"/>
          </w:tcPr>
          <w:p>
            <w:r>
              <w:t>1000</w:t>
            </w:r>
          </w:p>
        </w:tc>
        <w:tc>
          <w:tcPr>
            <w:tcW w:type="dxa" w:w="2068"/>
            <w:vAlign w:val="center"/>
          </w:tcPr>
          <w:p>
            <w:r>
              <w:t>5</w:t>
            </w:r>
          </w:p>
        </w:tc>
        <w:tc>
          <w:tcPr>
            <w:tcW w:type="dxa" w:w="2068"/>
            <w:vAlign w:val="center"/>
          </w:tcPr>
          <w:p>
            <w:r>
              <w:t>20</w:t>
            </w:r>
          </w:p>
        </w:tc>
        <w:tc>
          <w:tcPr>
            <w:tcW w:type="dxa" w:w="2068"/>
            <w:vAlign w:val="center"/>
          </w:tcPr>
          <w:p>
            <w:r>
              <w:t>42.46</w:t>
            </w:r>
          </w:p>
        </w:tc>
        <w:tc>
          <w:tcPr>
            <w:tcW w:type="dxa" w:w="2068"/>
            <w:vAlign w:val="center"/>
          </w:tcPr>
          <w:p>
            <w:r>
              <w:t>1.79</w:t>
            </w:r>
          </w:p>
        </w:tc>
      </w:tr>
      <w:tr>
        <w:tc>
          <w:tcPr>
            <w:tcW w:type="dxa" w:w="2068"/>
            <w:vAlign w:val="center"/>
          </w:tcPr>
          <w:p>
            <w:r>
              <w:t>1000</w:t>
            </w:r>
          </w:p>
        </w:tc>
        <w:tc>
          <w:tcPr>
            <w:tcW w:type="dxa" w:w="2068"/>
            <w:vAlign w:val="center"/>
          </w:tcPr>
          <w:p>
            <w:r>
              <w:t>25</w:t>
            </w:r>
          </w:p>
        </w:tc>
        <w:tc>
          <w:tcPr>
            <w:tcW w:type="dxa" w:w="2068"/>
            <w:vAlign w:val="center"/>
          </w:tcPr>
          <w:p>
            <w:r>
              <w:t>20</w:t>
            </w:r>
          </w:p>
        </w:tc>
        <w:tc>
          <w:tcPr>
            <w:tcW w:type="dxa" w:w="2068"/>
            <w:vAlign w:val="center"/>
          </w:tcPr>
          <w:p>
            <w:r>
              <w:t>64.85</w:t>
            </w:r>
          </w:p>
        </w:tc>
        <w:tc>
          <w:tcPr>
            <w:tcW w:type="dxa" w:w="2068"/>
            <w:vAlign w:val="center"/>
          </w:tcPr>
          <w:p>
            <w:r>
              <w:t>2.61</w:t>
            </w:r>
          </w:p>
        </w:tc>
      </w:tr>
      <w:tr>
        <w:tc>
          <w:tcPr>
            <w:tcW w:type="dxa" w:w="2068"/>
            <w:vAlign w:val="center"/>
          </w:tcPr>
          <w:p>
            <w:r>
              <w:t>1000</w:t>
            </w:r>
          </w:p>
        </w:tc>
        <w:tc>
          <w:tcPr>
            <w:tcW w:type="dxa" w:w="2068"/>
            <w:vAlign w:val="center"/>
          </w:tcPr>
          <w:p>
            <w:r>
              <w:t>100</w:t>
            </w:r>
          </w:p>
        </w:tc>
        <w:tc>
          <w:tcPr>
            <w:tcW w:type="dxa" w:w="2068"/>
            <w:vAlign w:val="center"/>
          </w:tcPr>
          <w:p>
            <w:r>
              <w:t>20</w:t>
            </w:r>
          </w:p>
        </w:tc>
        <w:tc>
          <w:tcPr>
            <w:tcW w:type="dxa" w:w="2068"/>
            <w:vAlign w:val="center"/>
          </w:tcPr>
          <w:p>
            <w:r>
              <w:t>155.75</w:t>
            </w:r>
          </w:p>
        </w:tc>
        <w:tc>
          <w:tcPr>
            <w:tcW w:type="dxa" w:w="2068"/>
            <w:vAlign w:val="center"/>
          </w:tcPr>
          <w:p>
            <w:r>
              <w:t>31.22</w:t>
            </w:r>
          </w:p>
        </w:tc>
      </w:tr>
      <w:tr>
        <w:tc>
          <w:tcPr>
            <w:tcW w:type="dxa" w:w="2068"/>
            <w:vAlign w:val="center"/>
          </w:tcPr>
          <w:p>
            <w:r>
              <w:t>1000</w:t>
            </w:r>
          </w:p>
        </w:tc>
        <w:tc>
          <w:tcPr>
            <w:tcW w:type="dxa" w:w="2068"/>
            <w:vAlign w:val="center"/>
          </w:tcPr>
          <w:p>
            <w:r>
              <w:t>150</w:t>
            </w:r>
          </w:p>
        </w:tc>
        <w:tc>
          <w:tcPr>
            <w:tcW w:type="dxa" w:w="2068"/>
            <w:vAlign w:val="center"/>
          </w:tcPr>
          <w:p>
            <w:r>
              <w:t>12</w:t>
            </w:r>
          </w:p>
        </w:tc>
        <w:tc>
          <w:tcPr>
            <w:tcW w:type="dxa" w:w="2068"/>
            <w:vAlign w:val="center"/>
          </w:tcPr>
          <w:p>
            <w:r>
              <w:t>218.54</w:t>
            </w:r>
          </w:p>
        </w:tc>
        <w:tc>
          <w:tcPr>
            <w:tcW w:type="dxa" w:w="2068"/>
            <w:vAlign w:val="center"/>
          </w:tcPr>
          <w:p>
            <w:r>
              <w:t>93.80</w:t>
            </w:r>
          </w:p>
        </w:tc>
      </w:tr>
    </w:tbl>
    <w:p>
      <w:r/>
    </w:p>
    <w:p>
      <w:pPr>
        <w:jc w:val="center"/>
      </w:pPr>
      <w:r>
        <w:drawing>
          <wp:inline xmlns:a="http://schemas.openxmlformats.org/drawingml/2006/main" xmlns:pic="http://schemas.openxmlformats.org/drawingml/2006/picture">
            <wp:extent cx="5074920" cy="286487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74920" cy="2864874"/>
                    </a:xfrm>
                    <a:prstGeom prst="rect"/>
                  </pic:spPr>
                </pic:pic>
              </a:graphicData>
            </a:graphic>
          </wp:inline>
        </w:drawing>
      </w:r>
    </w:p>
    <w:p>
      <w:pPr>
        <w:jc w:val="center"/>
      </w:pPr>
      <w:r>
        <w:t>Fig. D-2. Rule-scaling benchmark.</w:t>
      </w:r>
    </w:p>
    <w:p>
      <w:pPr>
        <w:pStyle w:val="Heading1"/>
      </w:pPr>
      <w:r>
        <w:t>D.6 THREE-STAGE PIPELINE BENCHMARK</w:t>
      </w:r>
    </w:p>
    <w:p>
      <w:r>
        <w:t>A second microbenchmark executes the three-stage reference pipeline over 1,000 objects for INFORM, DECIDE, and ACT routing. The benchmark stops at the governance decision and does not execute an external human workflow or API action. It is a warmed single-process microbenchmark and is reported with median/IQR only.</w:t>
      </w:r>
    </w:p>
    <w:tbl>
      <w:tblPr>
        <w:tblStyle w:val="TableGrid"/>
        <w:tblW w:type="auto" w:w="0"/>
        <w:jc w:val="center"/>
        <w:tblLook w:firstColumn="1" w:firstRow="1" w:lastColumn="0" w:lastRow="0" w:noHBand="0" w:noVBand="1" w:val="04A0"/>
      </w:tblPr>
      <w:tblGrid>
        <w:gridCol w:w="2068"/>
        <w:gridCol w:w="2068"/>
        <w:gridCol w:w="2068"/>
        <w:gridCol w:w="2068"/>
        <w:gridCol w:w="2068"/>
      </w:tblGrid>
      <w:tr>
        <w:trPr>
          <w:tblHeader w:val="true"/>
        </w:trPr>
        <w:tc>
          <w:tcPr>
            <w:tcW w:type="dxa" w:w="2068"/>
            <w:shd w:fill="EDEDED"/>
            <w:vAlign w:val="center"/>
          </w:tcPr>
          <w:p>
            <w:r>
              <w:rPr>
                <w:b/>
                <w:sz w:val="16"/>
              </w:rPr>
              <w:t>Disposition</w:t>
            </w:r>
          </w:p>
        </w:tc>
        <w:tc>
          <w:tcPr>
            <w:tcW w:type="dxa" w:w="2068"/>
            <w:shd w:fill="EDEDED"/>
            <w:vAlign w:val="center"/>
          </w:tcPr>
          <w:p>
            <w:r>
              <w:rPr>
                <w:b/>
                <w:sz w:val="16"/>
              </w:rPr>
              <w:t>Objects</w:t>
            </w:r>
          </w:p>
        </w:tc>
        <w:tc>
          <w:tcPr>
            <w:tcW w:type="dxa" w:w="2068"/>
            <w:shd w:fill="EDEDED"/>
            <w:vAlign w:val="center"/>
          </w:tcPr>
          <w:p>
            <w:r>
              <w:rPr>
                <w:b/>
                <w:sz w:val="16"/>
              </w:rPr>
              <w:t>Runs</w:t>
            </w:r>
          </w:p>
        </w:tc>
        <w:tc>
          <w:tcPr>
            <w:tcW w:type="dxa" w:w="2068"/>
            <w:shd w:fill="EDEDED"/>
            <w:vAlign w:val="center"/>
          </w:tcPr>
          <w:p>
            <w:r>
              <w:rPr>
                <w:b/>
                <w:sz w:val="16"/>
              </w:rPr>
              <w:t>Median ms</w:t>
            </w:r>
          </w:p>
        </w:tc>
        <w:tc>
          <w:tcPr>
            <w:tcW w:type="dxa" w:w="2068"/>
            <w:shd w:fill="EDEDED"/>
            <w:vAlign w:val="center"/>
          </w:tcPr>
          <w:p>
            <w:r>
              <w:rPr>
                <w:b/>
                <w:sz w:val="16"/>
              </w:rPr>
              <w:t>IQR ms</w:t>
            </w:r>
          </w:p>
        </w:tc>
      </w:tr>
      <w:tr>
        <w:tc>
          <w:tcPr>
            <w:tcW w:type="dxa" w:w="2068"/>
            <w:vAlign w:val="center"/>
          </w:tcPr>
          <w:p>
            <w:r>
              <w:rPr>
                <w:sz w:val="16"/>
              </w:rPr>
              <w:t>INFORM</w:t>
            </w:r>
          </w:p>
        </w:tc>
        <w:tc>
          <w:tcPr>
            <w:tcW w:type="dxa" w:w="2068"/>
            <w:vAlign w:val="center"/>
          </w:tcPr>
          <w:p>
            <w:r>
              <w:t>1000</w:t>
            </w:r>
          </w:p>
        </w:tc>
        <w:tc>
          <w:tcPr>
            <w:tcW w:type="dxa" w:w="2068"/>
            <w:vAlign w:val="center"/>
          </w:tcPr>
          <w:p>
            <w:r>
              <w:t>20</w:t>
            </w:r>
          </w:p>
        </w:tc>
        <w:tc>
          <w:tcPr>
            <w:tcW w:type="dxa" w:w="2068"/>
            <w:vAlign w:val="center"/>
          </w:tcPr>
          <w:p>
            <w:r>
              <w:t>55.74</w:t>
            </w:r>
          </w:p>
        </w:tc>
        <w:tc>
          <w:tcPr>
            <w:tcW w:type="dxa" w:w="2068"/>
            <w:vAlign w:val="center"/>
          </w:tcPr>
          <w:p>
            <w:r>
              <w:t>3.00</w:t>
            </w:r>
          </w:p>
        </w:tc>
      </w:tr>
      <w:tr>
        <w:tc>
          <w:tcPr>
            <w:tcW w:type="dxa" w:w="2068"/>
            <w:vAlign w:val="center"/>
          </w:tcPr>
          <w:p>
            <w:r>
              <w:rPr>
                <w:sz w:val="16"/>
              </w:rPr>
              <w:t>DECIDE</w:t>
            </w:r>
          </w:p>
        </w:tc>
        <w:tc>
          <w:tcPr>
            <w:tcW w:type="dxa" w:w="2068"/>
            <w:vAlign w:val="center"/>
          </w:tcPr>
          <w:p>
            <w:r>
              <w:t>1000</w:t>
            </w:r>
          </w:p>
        </w:tc>
        <w:tc>
          <w:tcPr>
            <w:tcW w:type="dxa" w:w="2068"/>
            <w:vAlign w:val="center"/>
          </w:tcPr>
          <w:p>
            <w:r>
              <w:t>20</w:t>
            </w:r>
          </w:p>
        </w:tc>
        <w:tc>
          <w:tcPr>
            <w:tcW w:type="dxa" w:w="2068"/>
            <w:vAlign w:val="center"/>
          </w:tcPr>
          <w:p>
            <w:r>
              <w:t>57.59</w:t>
            </w:r>
          </w:p>
        </w:tc>
        <w:tc>
          <w:tcPr>
            <w:tcW w:type="dxa" w:w="2068"/>
            <w:vAlign w:val="center"/>
          </w:tcPr>
          <w:p>
            <w:r>
              <w:t>7.24</w:t>
            </w:r>
          </w:p>
        </w:tc>
      </w:tr>
      <w:tr>
        <w:tc>
          <w:tcPr>
            <w:tcW w:type="dxa" w:w="2068"/>
            <w:vAlign w:val="center"/>
          </w:tcPr>
          <w:p>
            <w:r>
              <w:rPr>
                <w:sz w:val="16"/>
              </w:rPr>
              <w:t>ACT</w:t>
            </w:r>
          </w:p>
        </w:tc>
        <w:tc>
          <w:tcPr>
            <w:tcW w:type="dxa" w:w="2068"/>
            <w:vAlign w:val="center"/>
          </w:tcPr>
          <w:p>
            <w:r>
              <w:t>1000</w:t>
            </w:r>
          </w:p>
        </w:tc>
        <w:tc>
          <w:tcPr>
            <w:tcW w:type="dxa" w:w="2068"/>
            <w:vAlign w:val="center"/>
          </w:tcPr>
          <w:p>
            <w:r>
              <w:t>20</w:t>
            </w:r>
          </w:p>
        </w:tc>
        <w:tc>
          <w:tcPr>
            <w:tcW w:type="dxa" w:w="2068"/>
            <w:vAlign w:val="center"/>
          </w:tcPr>
          <w:p>
            <w:r>
              <w:t>55.07</w:t>
            </w:r>
          </w:p>
        </w:tc>
        <w:tc>
          <w:tcPr>
            <w:tcW w:type="dxa" w:w="2068"/>
            <w:vAlign w:val="center"/>
          </w:tcPr>
          <w:p>
            <w:r>
              <w:t>3.11</w:t>
            </w:r>
          </w:p>
        </w:tc>
      </w:tr>
    </w:tbl>
    <w:p>
      <w:r>
        <w:t>The three dispositions have similar governance-decision cost in this reference implementation because object-policy evaluation dominates the measured workload. This should not be interpreted as evidence that real-world human review or machine action has equivalent end-to-end latency.</w:t>
      </w:r>
    </w:p>
    <w:p>
      <w:pPr>
        <w:pStyle w:val="Heading1"/>
      </w:pPr>
      <w:r>
        <w:t>D.7 REPRODUCIBILITY</w:t>
      </w:r>
    </w:p>
    <w:p>
      <w:r>
        <w:t>python -m pip install -e .</w:t>
        <w:br/>
        <w:t>adgl validate examples/regulatory_product_claim_review/policy.yaml</w:t>
        <w:br/>
        <w:t>adgl run examples/regulatory_product_claim_review/policy.yaml --input examples/regulatory_product_claim_review/input.json</w:t>
        <w:br/>
        <w:t>adgl pipeline examples/autonomous_machine_action/policy.yaml --input examples/autonomous_machine_action/input.json</w:t>
        <w:br/>
        <w:t>adgl conformance</w:t>
        <w:br/>
        <w:t>PYTHONPATH=. python benchmarks/benchmark.py --iterations 20</w:t>
        <w:br/>
        <w:t>PYTHONPATH=. python benchmarks/pipeline_benchmark.py</w:t>
      </w:r>
    </w:p>
    <w:p>
      <w:pPr>
        <w:pStyle w:val="Heading1"/>
      </w:pPr>
      <w:r>
        <w:t>D.8 INTERPRETATION LIMITS</w:t>
      </w:r>
    </w:p>
    <w:p>
      <w:r>
        <w:t>The reference implementation demonstrates executability and internal conformance, not production readiness. C15 uses an independent mini-interpreter bundled in the same research project; it is not third-party validation. Production deployment requires stronger identity, enforcement, persistence, policy distribution, tamper resistance, observability, and security engineering. Analysis/consequence semantics, stage-qualified transformations, and pipeline-native model routing remain working-draft or future work.</w:t>
      </w:r>
    </w:p>
    <w:sectPr w:rsidR="00FC693F" w:rsidRPr="0006063C" w:rsidSect="00034616">
      <w:footerReference w:type="default" r:id="rId11"/>
      <w:pgSz w:w="12240" w:h="15840"/>
      <w:pgMar w:top="893" w:right="950" w:bottom="893" w:left="9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ADGL Appendix D | Reference Toolkit 0.5.0 | GBSN Research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ADGL Appendix D - Reference Toolkit, Conformance, and Evaluation</dc:title>
  <dc:subject>AI Data Governance Layer (ADGL) Research Release 0.4.0</dc:subject>
  <dc:creator>GBSN Research</dc:creator>
  <cp:keywords>ADGL, AI governance, data governance, analysis governance, consequence governance, audit, provenance</cp:keywords>
  <dc:description>generated by python-docx</dc:description>
  <cp:lastModifiedBy>GBSN Research</cp:lastModifiedBy>
  <cp:revision>1</cp:revision>
  <dcterms:created xsi:type="dcterms:W3CDTF">2013-12-23T23:15:00Z</dcterms:created>
  <dcterms:modified xsi:type="dcterms:W3CDTF">2013-12-23T23:15:00Z</dcterms:modified>
  <cp:category/>
</cp:coreProperties>
</file>