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2E5395"/>
          <w:sz w:val="32"/>
          <w:szCs w:val="32"/>
        </w:rPr>
        <w:t xml:space="preserve">DOC-001</w:t>
      </w:r>
    </w:p>
    <w:p>
      <w:pPr>
        <w:spacing w:after="120" w:before="240"/>
        <w:jc w:val="center"/>
      </w:pPr>
      <w:r>
        <w:rPr>
          <w:b/>
          <w:bCs/>
          <w:color w:val="1F3864"/>
          <w:sz w:val="56"/>
          <w:szCs w:val="56"/>
        </w:rPr>
        <w:t xml:space="preserve">Estructura Documental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Gobierno de la documentación técnica: taxonomía, docs-as-code, ciclo de vida y clasificación</w:t>
      </w:r>
    </w:p>
    <w:p>
      <w:pPr>
        <w:spacing w:before="1600"/>
        <w:jc w:val="center"/>
      </w:pPr>
      <w:r>
        <w:rPr>
          <w:color w:val="595959"/>
          <w:sz w:val="22"/>
          <w:szCs w:val="22"/>
        </w:rPr>
        <w:t xml:space="preserve">Versión 1.0  ·  Agosto 2026</w:t>
      </w:r>
    </w:p>
    <w:p>
      <w:pPr>
        <w:jc w:val="center"/>
      </w:pPr>
      <w:r>
        <w:rPr>
          <w:b/>
          <w:bCs/>
          <w:color w:val="C00000"/>
          <w:sz w:val="22"/>
          <w:szCs w:val="22"/>
        </w:rPr>
        <w:t xml:space="preserve">Clasificación: Uso Interno</w:t>
      </w:r>
    </w:p>
    <w:p>
      <w:pPr>
        <w:pStyle w:val="Heading1"/>
        <w:pageBreakBefore/>
        <w:spacing w:after="240"/>
      </w:pPr>
      <w:r>
        <w:rPr>
          <w:b/>
          <w:bCs/>
        </w:rPr>
        <w:t xml:space="preserve">1. Control del Documento y Control de Cambios</w:t>
      </w:r>
    </w:p>
    <w:p>
      <w:pPr>
        <w:spacing w:after="200" w:line="276"/>
      </w:pPr>
      <w:r>
        <w:t xml:space="preserve">Este documento establece cómo se organiza, escribe, revisa, publica y retiene la documentación técnica y de gobierno de la organización, incluyendo el propio documento que el lector tiene delante. Su vigencia, distribución y modificaciones están sujetas al proceso descrito a continuación, que es también el proceso que este documento define para todos los demás.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000"/>
      </w:tblGrid>
      <w:tr>
        <w:trPr>
          <w:tblHeader/>
        </w:trPr>
        <w:tc>
          <w:tcPr>
            <w:tcW w:type="dxa" w:w="2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Código del Documento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DOC-001</w:t>
            </w:r>
          </w:p>
        </w:tc>
      </w:tr>
      <w:tr>
        <w:tc>
          <w:tcPr>
            <w:tcW w:type="dxa" w:w="2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Clasificación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Uso Interno — Distribución obligatoria para todo el personal que produce o consume documentación técnica.</w:t>
            </w:r>
          </w:p>
        </w:tc>
      </w:tr>
      <w:tr>
        <w:tc>
          <w:tcPr>
            <w:tcW w:type="dxa" w:w="2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Propietario del Documento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Oficina de Arquitectura y Estándares</w:t>
            </w:r>
          </w:p>
        </w:tc>
      </w:tr>
      <w:tr>
        <w:tc>
          <w:tcPr>
            <w:tcW w:type="dxa" w:w="2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Frecuencia de Revisión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Anual, o ante la incorporación de un nuevo dominio documental o cambio de herramienta de publicación.</w:t>
            </w:r>
          </w:p>
        </w:tc>
      </w:tr>
      <w:tr>
        <w:tc>
          <w:tcPr>
            <w:tcW w:type="dxa" w:w="2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Próxima Revisión Programada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2027-08-03</w:t>
            </w:r>
          </w:p>
        </w:tc>
      </w:tr>
    </w:tbl>
    <w:p>
      <w:pPr>
        <w:spacing w:after="150" w:before="300"/>
      </w:pPr>
      <w:r>
        <w:rPr>
          <w:b/>
          <w:bCs/>
        </w:rPr>
        <w:t xml:space="preserve">Historial de Versiones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550"/>
        <w:gridCol w:w="40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Versión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Fecha</w:t>
            </w:r>
          </w:p>
        </w:tc>
        <w:tc>
          <w:tcPr>
            <w:tcW w:type="dxa" w:w="2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Autor / Responsable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del Cambio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2026-06-08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Oficina de Arquitectura y Estándares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Borrador inicial de taxonomía documental y estándar docs-as-code.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0.6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2026-07-10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Comité de Gobierno DevSecOps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Incorporación del ciclo de vida documental, clasificación de información y plantilla estándar.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2026-08-03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Head of Engineering / Comité de Gobierno DevSecOps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Aprobación formal. Versión vigente publicada en el repositorio corporativo de documentación.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b/>
          <w:bCs/>
        </w:rPr>
        <w:t xml:space="preserve">2. Propósito y Alcance del Gobierno de Documentación</w:t>
      </w:r>
    </w:p>
    <w:p>
      <w:pPr>
        <w:spacing w:after="200" w:line="276"/>
      </w:pPr>
      <w:r>
        <w:t xml:space="preserve">A medida que la organización ha adoptado los modelos de gobierno, arquitectura, seguridad, ingeniería, operación, identidad y plataforma descritos en los documentos GOB-001, ARC-001, SEC-001, ENG-001, OPS-001, IAM-001 y PLT-001, la documentación misma se ha vuelto un activo crítico que requiere gobierno propio: sin una estructura común, cada dominio tiende a documentar en un formato, herramienta y nivel de rigor distinto, erosionando la confianza en el corpus documental completo.</w:t>
      </w:r>
    </w:p>
    <w:p>
      <w:pPr>
        <w:spacing w:after="200" w:line="276"/>
      </w:pPr>
      <w:r>
        <w:t xml:space="preserve">Este documento tiene como propósito: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Establecer una taxonomía única de códigos de documento que permita ubicar, referenciar y citar cruzadamente cualquier política corporativa sin ambigüedad.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Adoptar documentación como código (docs-as-code), tratando cada documento con el mismo rigor de control de versiones, revisión por pares y automatización que se exige al software en ENG-001.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Definir un ciclo de vida documental explícito, de forma que un lector siempre pueda distinguir un borrador de una política vigente.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Establecer niveles de clasificación de la información documentada, consistentes con los niveles definidos en SEC-001, sección 6.1.</w:t>
      </w:r>
    </w:p>
    <w:p>
      <w:pPr>
        <w:spacing w:after="200" w:line="276"/>
      </w:pPr>
      <w:r>
        <w:t xml:space="preserve">Este documento aplica a toda la documentación técnica y de gobierno producida por Ingeniería, Seguridad, Arquitectura, Operaciones y Plataforma. No aplica a documentación puramente comercial o de producto orientada a clientes externos, la cual se rige por el estándar de comunicaciones de Marketing.</w:t>
      </w:r>
    </w:p>
    <w:p>
      <w:pPr>
        <w:pStyle w:val="Heading1"/>
        <w:pageBreakBefore/>
        <w:spacing w:after="240" w:before="480"/>
      </w:pPr>
      <w:r>
        <w:rPr>
          <w:b/>
          <w:bCs/>
        </w:rPr>
        <w:t xml:space="preserve">3. Árbol Documental y Taxonomía de Repositorios</w:t>
      </w:r>
    </w:p>
    <w:p>
      <w:pPr>
        <w:spacing w:after="200" w:line="276"/>
      </w:pPr>
      <w:r>
        <w:t xml:space="preserve">Este capítulo define el sistema de códigos que identifica cada documento y el repositorio central donde vive la documentación viva de arquitectura.</w:t>
      </w:r>
    </w:p>
    <w:p>
      <w:pPr>
        <w:pStyle w:val="Heading2"/>
        <w:spacing w:after="180" w:before="360"/>
      </w:pPr>
      <w:r>
        <w:rPr>
          <w:b/>
          <w:bCs/>
        </w:rPr>
        <w:t xml:space="preserve">3.1. Código de Clasificación de Documentos (GOB, ARC, SEC, ENG, OPS, IAM, etc.)</w:t>
      </w:r>
    </w:p>
    <w:p>
      <w:pPr>
        <w:spacing w:after="200" w:line="276"/>
      </w:pPr>
      <w:r>
        <w:t xml:space="preserve">Todo documento normativo se identifica mediante un código de tres letras que indica su dominio, seguido de un número secuencial de tres dígitos (por ejemplo, GOB-001). Los códigos vigentes a la fecha de esta versión son: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5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Dominio</w:t>
            </w:r>
          </w:p>
        </w:tc>
        <w:tc>
          <w:tcPr>
            <w:tcW w:type="dxa" w:w="3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Documento de Referencia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GOB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Gobierno y modelo operativo DevSecOps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GOB-001 — Modelo de Gobierno DevSecOps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ARC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Arquitectura empresarial y decisiones técnicas estructurales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ARC-001 — Arquitectura Empresarial Target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Seguridad de la información y cumplimiento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SEC-001 — Política de Seguridad DevSecOps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ENG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Estándares de ingeniería de software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ENG-001 — Estándares de Ingeniería de Software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OPS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Operación, confiabilidad y gestión de incidentes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OPS-001 — Modelo Operativo Inicial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IAM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Identidad, acceso y gestión de privilegios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IAM-001 — Modelo de Identidad y Acceso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PLT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Implementación de plataformas específicas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PLT-001 — Documento de Implementación GitLab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Gobierno de la propia documentación (este documento)</w:t>
            </w:r>
          </w:p>
        </w:tc>
        <w:tc>
          <w:tcPr>
            <w:tcW w:type="dxa" w:w="3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DOC-001 — Estructura Documental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ADR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Registro individual de decisión de arquitectura (no es una política, ver sección 3.2)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Repositorio de ADR</w:t>
            </w:r>
          </w:p>
        </w:tc>
      </w:tr>
    </w:tbl>
    <w:p>
      <w:pPr>
        <w:spacing w:after="200" w:line="276"/>
      </w:pPr>
      <w:r>
        <w:t xml:space="preserve">La incorporación de un nuevo código de dominio (por ejemplo, para un futuro documento de gestión de datos o de inteligencia artificial) requiere aprobación del Comité de Gobierno DevSecOps y se añade a esta tabla mediante el mismo flujo de revisión definido en el capítulo 5.</w:t>
      </w:r>
    </w:p>
    <w:p>
      <w:pPr>
        <w:pStyle w:val="Heading2"/>
        <w:spacing w:after="180" w:before="360"/>
      </w:pPr>
      <w:r>
        <w:rPr>
          <w:b/>
          <w:bCs/>
        </w:rPr>
        <w:t xml:space="preserve">3.2. Repositorio Central de Documentación Viva (Architecture Decision Records - ADR)</w:t>
      </w:r>
    </w:p>
    <w:p>
      <w:pPr>
        <w:spacing w:after="200" w:line="276"/>
      </w:pPr>
      <w:r>
        <w:t xml:space="preserve">Además de las políticas normativas (códigos de la tabla anterior), la organización mantiene un registro de Architecture Decision Records (ADR): documentos breves que capturan una decisión técnica puntual, su contexto y sus alternativas consideradas, en el momento en que se toma.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 ADR no reemplaza a una política; una política (por ejemplo, ENG-001) establece la regla vigente, mientras que un ADR documenta por qué se llegó a esa regla en un momento dado.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Todo ADR se numera secuencialmente (ADR-001, ADR-002...) y nunca se elimina ni renumera, incluso si la decisión se revierte posteriormente; una decisión revertida se documenta con un nuevo ADR que referencia y supera al anterior.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Los ADR se almacenan en el mismo repositorio de documentación (ver estructura en la sección 4.1), en la carpeta docs/adr/.</w:t>
      </w:r>
    </w:p>
    <w:p>
      <w:pPr>
        <w:spacing w:after="200" w:line="276"/>
      </w:pPr>
      <w:r>
        <w:t xml:space="preserve">El siguiente es un ejemplo real de ADR del repositorio corporativo, referenciado desde ENG-001: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# ADR-014: Adopción de Trunk-Based Development como modelo de branching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* Estado: Aceptado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* Fecha: 2026-04-02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* Decisores: Guild de Ingeniería, Oficina de Arquitectura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* Documentos relacionados: ENG-001 (sección 3.1)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## Contexto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Los equipos utilizaban GitFlow de forma inconsistente, generando ramas 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larga duración y conflictos de fusión frecuentes que degradaban el Lead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Time for Changes (métrica DORA, ver GOB-001 sección 7.1).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## Decisión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Adoptar Trunk-Based Development como modelo por defecto para todo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servicio con despliegue continuo, reservando GitFlow Adaptado 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productos con ciclos de release regulados.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## Consecuencias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* Positivas: mayor frecuencia de integración, menor costo de fusión.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* Negativas: requiere disciplina de feature flags para ocultar trabajo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incompleto; mayor dependencia de pruebas automatizadas en pipeline.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## Alternativas consideradas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* GitFlow clásico: descartado por el costo de sincronización entre ramas.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* GitHub Flow: evaluado como equivalente; se prefirió el término Trunk-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Based Development por alineación con la terminología DORA.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b/>
          <w:bCs/>
        </w:rPr>
        <w:t xml:space="preserve">4. Estándar de Markdown y Documentación como Código (Docs-as-Code)</w:t>
      </w:r>
    </w:p>
    <w:p>
      <w:pPr>
        <w:spacing w:after="200" w:line="276"/>
      </w:pPr>
      <w:r>
        <w:t xml:space="preserve">Toda documentación normativa y técnica se escribe en Markdown, se versiona en el mismo sistema de control de versiones que el código fuente (GitLab, ver PLT-001) y se publica de forma automatizada, eliminando la existencia de copias divergentes en herramientas de ofimática no versionadas.</w:t>
      </w:r>
    </w:p>
    <w:p>
      <w:pPr>
        <w:pStyle w:val="Heading2"/>
        <w:spacing w:after="180" w:before="360"/>
      </w:pPr>
      <w:r>
        <w:rPr>
          <w:b/>
          <w:bCs/>
        </w:rPr>
        <w:t xml:space="preserve">4.1. Estructura Sugerida del Repositorio de Documentación</w:t>
      </w:r>
    </w:p>
    <w:p>
      <w:pPr>
        <w:spacing w:after="200" w:line="276"/>
      </w:pPr>
      <w:r>
        <w:t xml:space="preserve">El repositorio corporativo de documentación organiza los archivos en carpetas correspondientes a cada código de dominio de la sección 3.1: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docs/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├── mkdocs.yml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├── docs/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   ├── index.md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   ├── gob/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   │   └── gob-001-modelo-gobierno.md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   ├── arc/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   │   └── arc-001-arquitectura-target.md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   ├── sec/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   │   └── sec-001-politica-seguridad.md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   ├── eng/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   │   └── eng-001-estandares-ingenieria.md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   ├── ops/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   │   └── ops-001-modelo-operativo.md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   ├── iam/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   │   └── iam-001-modelo-identidad.md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   ├── plt/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   │   └── plt-001-implementacion-gitlab.md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   └── adr/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       ├── adr-001-eleccion-gitlab-ultimate.md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       ├── adr-014-trunk-based-development.md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│       └── template.md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└── .gitlab-ci.yml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</w:rPr>
        <w:t xml:space="preserve">4.2. Generación Automatizada de Sitios de Documentación (GitLab Pages / MkDocs)</w:t>
      </w:r>
    </w:p>
    <w:p>
      <w:pPr>
        <w:spacing w:after="200" w:line="276"/>
      </w:pPr>
      <w:r>
        <w:t xml:space="preserve">El sitio de documentación se genera automáticamente a partir del contenido Markdown mediante MkDocs con el tema Material, y se publica en GitLab Pages en cada fusión a la rama principal, sin pasos de publicación manual.</w:t>
      </w:r>
    </w:p>
    <w:p>
      <w:pPr>
        <w:spacing w:after="100" w:before="200"/>
      </w:pPr>
      <w:r>
        <w:rPr>
          <w:b/>
          <w:bCs/>
        </w:rPr>
        <w:t xml:space="preserve">Configuración base (mkdocs.yml)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site_name: Documentación Técnica Corporativa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site_url: https://docs.empresa.internal/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repo_url: https://gitlab.com/empresa/documentacion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theme: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name: material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language: 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features: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- navigation.tabs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- navigation.top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- content.code.copy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plugins: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- search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- awesome-pages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- git-revision-date-localized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nav: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- Inicio: index.md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- Gobierno (GOB): gob/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- Arquitectura (ARC): arc/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- Seguridad (SEC): sec/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- Ingeniería (ENG): eng/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- Operación (OPS): ops/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- Identidad (IAM): iam/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- Plataforma (PLT): plt/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- Decisiones de Arquitectura (ADR): adr/</w:t>
            </w:r>
          </w:p>
        </w:tc>
      </w:tr>
    </w:tbl>
    <w:p>
      <w:pPr>
        <w:spacing w:after="150"/>
      </w:pPr>
    </w:p>
    <w:p>
      <w:pPr>
        <w:spacing w:after="100" w:before="200"/>
      </w:pPr>
      <w:r>
        <w:rPr>
          <w:b/>
          <w:bCs/>
        </w:rPr>
        <w:t xml:space="preserve">Job de publicación (fragmento de .gitlab-ci.yml)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pages: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stage: publish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image: registry.interna.empresa.com/mkdocs-material:9.5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script: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- mkdocs build --strict --site-dir public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artifacts: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paths: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  - public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rules: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   - if: '$CI_COMMIT_BRANCH == "main"'</w:t>
            </w:r>
          </w:p>
        </w:tc>
      </w:tr>
    </w:tbl>
    <w:p>
      <w:pPr>
        <w:spacing w:after="200" w:line="276"/>
      </w:pPr>
      <w:r>
        <w:t xml:space="preserve">La bandera --strict del job de publicación falla el pipeline ante enlaces rotos o referencias de navegación inválidas, aplicando a la documentación el mismo principio de "pipeline en verde como condición de merge" definido en ENG-001, sección 3.3.</w:t>
      </w:r>
    </w:p>
    <w:p>
      <w:pPr>
        <w:pStyle w:val="Heading1"/>
        <w:pageBreakBefore/>
        <w:spacing w:after="240" w:before="480"/>
      </w:pPr>
      <w:r>
        <w:rPr>
          <w:b/>
          <w:bCs/>
        </w:rPr>
        <w:t xml:space="preserve">5. Gestión del Ciclo de Vida Documental</w:t>
      </w:r>
    </w:p>
    <w:p>
      <w:pPr>
        <w:spacing w:after="200" w:line="276"/>
      </w:pPr>
      <w:r>
        <w:t xml:space="preserve">Este capítulo define los estados formales por los que atraviesa un documento y el flujo de revisión que gobierna su transición entre ellos.</w:t>
      </w:r>
    </w:p>
    <w:p>
      <w:pPr>
        <w:pStyle w:val="Heading2"/>
        <w:spacing w:after="180" w:before="360"/>
      </w:pPr>
      <w:r>
        <w:rPr>
          <w:b/>
          <w:bCs/>
        </w:rPr>
        <w:t xml:space="preserve">5.1. Estados del Documento (Borrador, En Revisión, Aprobado, Obsoleto)</w:t>
      </w:r>
    </w:p>
    <w:p>
      <w:pPr>
        <w:spacing w:after="200" w:line="276"/>
      </w:pPr>
      <w:r>
        <w:t xml:space="preserve">Todo documento declara su estado actual en los metadatos de encabezado (ver plantilla del anexo 7.1), visible tanto en el archivo fuente como en el sitio publicado: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5000"/>
        <w:gridCol w:w="2600"/>
      </w:tblGrid>
      <w:tr>
        <w:trPr>
          <w:tblHeader/>
        </w:trPr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Quién puede transicionar</w:t>
            </w:r>
          </w:p>
        </w:tc>
      </w:tr>
      <w:tr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Borrador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Documento en construcción activa; no vinculante y no auditable como política vigente.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El autor, libremente.</w:t>
            </w:r>
          </w:p>
        </w:tc>
      </w:tr>
      <w:tr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 Revisión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Documento propuesto formalmente mediante Merge Request, en proceso de revisión por pares (sección 5.2).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El autor abre el MR; cualquier revisor designado puede comentar.</w:t>
            </w:r>
          </w:p>
        </w:tc>
      </w:tr>
      <w:tr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Aprobado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Documento vigente y de cumplimiento exigible; versión publicada en el sitio de documentación.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Aprobadores formales según el código de clasificación (ver tabla de la sección 3.1).</w:t>
            </w:r>
          </w:p>
        </w:tc>
      </w:tr>
      <w:tr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Obsoleto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Documento reemplazado o sin vigencia; se conserva por trazabilidad histórica pero deja de ser normativo.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El propietario del documento, con registro del motivo y, si aplica, referencia al documento sucesor.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</w:rPr>
        <w:t xml:space="preserve">5.2. Flujo de Revisión, Formatos de Control de Cambios y Aprobación vía PR/MR</w:t>
      </w:r>
    </w:p>
    <w:p>
      <w:pPr>
        <w:spacing w:after="200" w:line="276"/>
      </w:pPr>
      <w:r>
        <w:t xml:space="preserve">Todo cambio a un documento normativo sigue el mismo flujo de Merge Request definido para el código fuente en ENG-001, sección 3.3, adaptado a las particularidades de la revisión documental: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5200"/>
        <w:gridCol w:w="2500"/>
      </w:tblGrid>
      <w:tr>
        <w:trPr>
          <w:tblHeader/>
        </w:trPr>
        <w:tc>
          <w:tcPr>
            <w:tcW w:type="dxa" w:w="1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Paso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Acción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Herramienta</w:t>
            </w:r>
          </w:p>
        </w:tc>
      </w:tr>
      <w:tr>
        <w:tc>
          <w:tcPr>
            <w:tcW w:type="dxa" w:w="1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 Propuesta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El autor crea o modifica el documento en una rama de feature y abre un Merge Request hacia main.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GitLab (ver PLT-001, sección 4.3)</w:t>
            </w:r>
          </w:p>
        </w:tc>
      </w:tr>
      <w:tr>
        <w:tc>
          <w:tcPr>
            <w:tcW w:type="dxa" w:w="1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2. Control de cambios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El autor actualiza la tabla de Historial de Versiones del propio documento, incrementando la versión según el impacto del cambio (mayor/menor/patch).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Plantilla estándar (anexo 7.1)</w:t>
            </w:r>
          </w:p>
        </w:tc>
      </w:tr>
      <w:tr>
        <w:tc>
          <w:tcPr>
            <w:tcW w:type="dxa" w:w="1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 Revisión por pares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Como mínimo un revisor técnico del dominio y, para documentos de gobierno (GOB/SEC/IAM), un representante del Comité de Gobierno DevSecOps.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Aprobadores de Merge Request (CODEOWNERS)</w:t>
            </w:r>
          </w:p>
        </w:tc>
      </w:tr>
      <w:tr>
        <w:tc>
          <w:tcPr>
            <w:tcW w:type="dxa" w:w="1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4. Validación automatizada</w:t>
            </w:r>
          </w:p>
        </w:tc>
        <w:tc>
          <w:tcPr>
            <w:tcW w:type="dxa" w:w="5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El pipeline valida enlaces rotos, formato Markdown (linting) y construcción exitosa del sitio (mkdocs build --strict).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GitLab CI/CD</w:t>
            </w:r>
          </w:p>
        </w:tc>
      </w:tr>
      <w:tr>
        <w:tc>
          <w:tcPr>
            <w:tcW w:type="dxa" w:w="1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5. Aprobación y fusión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 aprobarse, el documento pasa a estado Aprobado y se publica automáticamente en el sitio de documentación.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GitLab Pages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b/>
          <w:bCs/>
        </w:rPr>
        <w:t xml:space="preserve">6. Clasificación de la Información Documentada</w:t>
      </w:r>
    </w:p>
    <w:p>
      <w:pPr>
        <w:spacing w:after="200" w:line="276"/>
      </w:pPr>
      <w:r>
        <w:t xml:space="preserve">Este capítulo aplica a la documentación misma los niveles de clasificación de información ya definidos en SEC-001, sección 6.1, y establece las reglas de retención y destrucción segura correspondientes.</w:t>
      </w:r>
    </w:p>
    <w:p>
      <w:pPr>
        <w:pStyle w:val="Heading2"/>
        <w:spacing w:after="180" w:before="360"/>
      </w:pPr>
      <w:r>
        <w:rPr>
          <w:b/>
          <w:bCs/>
        </w:rPr>
        <w:t xml:space="preserve">6.1. Niveles de Confidencialidad (Público, Interno, Confidencial, Restringido)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400"/>
        <w:gridCol w:w="3200"/>
      </w:tblGrid>
      <w:tr>
        <w:trPr>
          <w:tblHeader/>
        </w:trPr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Nivel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Ejemplo de Documento</w:t>
            </w:r>
          </w:p>
        </w:tc>
      </w:tr>
      <w:tr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Público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Sin restricción de distribución; apto para publicación externa.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Guía de estilo de marca, documentación de API pública.</w:t>
            </w:r>
          </w:p>
        </w:tc>
      </w:tr>
      <w:tr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Interno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 uso exclusivo del personal de la organización; sin impacto grave si se divulga.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GOB-001, ARC-001, ENG-001, la mayoría de los ADR.</w:t>
            </w:r>
          </w:p>
        </w:tc>
      </w:tr>
      <w:tr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Confidencial</w:t>
            </w:r>
          </w:p>
        </w:tc>
        <w:tc>
          <w:tcPr>
            <w:tcW w:type="dxa" w:w="4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Divulgación no autorizada puede afectar la operación o posición competitiva.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SEC-001, IAM-001, PLT-001 (detalles de hardening).</w:t>
            </w:r>
          </w:p>
        </w:tc>
      </w:tr>
      <w:tr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Restringido</w:t>
            </w:r>
          </w:p>
        </w:tc>
        <w:tc>
          <w:tcPr>
            <w:tcW w:type="dxa" w:w="4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Acceso limitado a roles explícitamente autorizados; contiene detalles explotables si se expone.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Runbooks de break-glass, topología detallada de credenciales.</w:t>
            </w:r>
          </w:p>
        </w:tc>
      </w:tr>
    </w:tbl>
    <w:p>
      <w:pPr>
        <w:spacing w:after="200" w:line="276"/>
      </w:pPr>
      <w:r>
        <w:t xml:space="preserve">El nivel de clasificación se declara obligatoriamente en los metadatos de cada documento (campo clasificacion de la plantilla del anexo 7.1) y determina los permisos de lectura configurados en el repositorio de documentación, conforme a la matriz RBAC de IAM-001, sección 4.1.</w:t>
      </w:r>
    </w:p>
    <w:p>
      <w:pPr>
        <w:pStyle w:val="Heading2"/>
        <w:spacing w:after="180" w:before="360"/>
      </w:pPr>
      <w:r>
        <w:rPr>
          <w:b/>
          <w:bCs/>
        </w:rPr>
        <w:t xml:space="preserve">6.2. Retención, Archivado y Destrucción Segura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2350"/>
        <w:gridCol w:w="2200"/>
        <w:gridCol w:w="2150"/>
      </w:tblGrid>
      <w:tr>
        <w:trPr>
          <w:tblHeader/>
        </w:trPr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2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Retención Activa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Archivado</w:t>
            </w:r>
          </w:p>
        </w:tc>
        <w:tc>
          <w:tcPr>
            <w:tcW w:type="dxa" w:w="2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Destrucción Segura</w:t>
            </w:r>
          </w:p>
        </w:tc>
      </w:tr>
      <w:tr>
        <w:tc>
          <w:tcPr>
            <w:tcW w:type="dxa" w:w="2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Documentos Aprobados vigentes</w:t>
            </w:r>
          </w:p>
        </w:tc>
        <w:tc>
          <w:tcPr>
            <w:tcW w:type="dxa" w:w="2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Indefinida mientras estén vigentes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aplica</w:t>
            </w:r>
          </w:p>
        </w:tc>
        <w:tc>
          <w:tcPr>
            <w:tcW w:type="dxa" w:w="2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aplica</w:t>
            </w:r>
          </w:p>
        </w:tc>
      </w:tr>
      <w:tr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Documentos Obsoletos</w:t>
            </w:r>
          </w:p>
        </w:tc>
        <w:tc>
          <w:tcPr>
            <w:tcW w:type="dxa" w:w="2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12 meses en el sitio de documentación con marca de obsolescencia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 años en repositorio de solo lectura</w:t>
            </w:r>
          </w:p>
        </w:tc>
        <w:tc>
          <w:tcPr>
            <w:tcW w:type="dxa" w:w="2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Eliminación de metadatos personales tras el período de archivado, conforme a SEC-001</w:t>
            </w:r>
          </w:p>
        </w:tc>
      </w:tr>
      <w:tr>
        <w:tc>
          <w:tcPr>
            <w:tcW w:type="dxa" w:w="26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Post-mortems y ADR</w:t>
            </w:r>
          </w:p>
        </w:tc>
        <w:tc>
          <w:tcPr>
            <w:tcW w:type="dxa" w:w="2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Indefinida (valor histórico)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aplica; se conservan permanentemente</w:t>
            </w:r>
          </w:p>
        </w:tc>
        <w:tc>
          <w:tcPr>
            <w:tcW w:type="dxa" w:w="2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aplica</w:t>
            </w:r>
          </w:p>
        </w:tc>
      </w:tr>
      <w:tr>
        <w:tc>
          <w:tcPr>
            <w:tcW w:type="dxa" w:w="2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Borradores abandonados (&gt; 6 meses sin actividad)</w:t>
            </w:r>
          </w:p>
        </w:tc>
        <w:tc>
          <w:tcPr>
            <w:tcW w:type="dxa" w:w="2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 meses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se archivan</w:t>
            </w:r>
          </w:p>
        </w:tc>
        <w:tc>
          <w:tcPr>
            <w:tcW w:type="dxa" w:w="2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Eliminación automática de la rama de feature</w:t>
            </w:r>
          </w:p>
        </w:tc>
      </w:tr>
    </w:tbl>
    <w:p>
      <w:pPr>
        <w:spacing w:after="200" w:line="276"/>
      </w:pPr>
      <w:r>
        <w:t xml:space="preserve">La destrucción segura de metadatos personales identificables dentro de documentos archivados (por ejemplo, nombres de autores en versiones muy antiguas) se ejecuta conforme a los plazos de la Política de Clasificación de Datos y Privacidad referenciada en GOB-001, anexo 8.2.</w:t>
      </w:r>
    </w:p>
    <w:p>
      <w:pPr>
        <w:pStyle w:val="Heading1"/>
        <w:pageBreakBefore/>
        <w:spacing w:after="240" w:before="480"/>
      </w:pPr>
      <w:r>
        <w:rPr>
          <w:b/>
          <w:bCs/>
        </w:rPr>
        <w:t xml:space="preserve">7. Anexos</w:t>
      </w:r>
    </w:p>
    <w:p>
      <w:pPr>
        <w:pStyle w:val="Heading2"/>
        <w:spacing w:after="180" w:before="360"/>
      </w:pPr>
      <w:r>
        <w:rPr>
          <w:b/>
          <w:bCs/>
        </w:rPr>
        <w:t xml:space="preserve">7.1. Plantilla Markdown Estándar para Nuevos Documentos</w:t>
      </w:r>
    </w:p>
    <w:p>
      <w:pPr>
        <w:spacing w:after="200" w:line="276"/>
      </w:pPr>
      <w:r>
        <w:t xml:space="preserve">Todo nuevo documento normativo se crea a partir de la siguiente plantilla, disponible en docs/adr/template.md para ADR y en la raíz del repositorio para políticas, garantizando que los metadatos de ciclo de vida (sección 5.1) y clasificación (sección 6.1) estén presentes desde el primer commit.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codigo: XXX-000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titulo: &lt;Título del Documento&gt;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estado: Borrador          # Borrador | En Revisión | Aprobado | Obsoleto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clasificacion: Interno    # Público | Interno | Confidencial | Restringido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propietario: &lt;Rol o equipo propietario&gt;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version: 0.1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fecha_ultima_revision: AAAA-MM-DD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proxima_revision: AAAA-MM-DD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# XXX-000 — &lt;Título del Documento&gt;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## 1. Control del Documento y Control de Cambios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| Versión | Fecha | Autor | Descripción del Cambio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|---------|-------|-------|--------------------------|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| 0.1     | AAAA-MM-DD | &lt;nombre&gt; | Borrador inicial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## 2. Propósito y Alcance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&lt;Describir el propósito del documento y a quién/qué aplica.&gt;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## 3. &lt;Sección temática 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&lt;Contenido&gt;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## Anexos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6"/>
                <w:szCs w:val="16"/>
              </w:rPr>
              <w:t xml:space="preserve">&lt;Material de referencia, plantillas o diagramas complementarios.&gt;</w:t>
            </w:r>
          </w:p>
        </w:tc>
      </w:tr>
    </w:tbl>
    <w:p>
      <w:pPr>
        <w:spacing w:after="200" w:line="276"/>
      </w:pPr>
      <w:r>
        <w:t xml:space="preserve">El campo estado del encabezado se valida automáticamente en el pipeline de publicación (sección 4.2): un valor fuera de la lista permitida (Borrador, En Revisión, Aprobado, Obsoleto) hace fallar la construcción del sitio.</w:t>
      </w:r>
    </w:p>
    <w:p>
      <w:pPr>
        <w:pBdr>
          <w:top w:val="single" w:color="BFBFBF" w:sz="4"/>
        </w:pBdr>
        <w:spacing w:before="400"/>
      </w:pPr>
    </w:p>
    <w:p>
      <w:pPr>
        <w:spacing w:before="200"/>
      </w:pPr>
      <w:r>
        <w:rPr>
          <w:i/>
          <w:iCs/>
          <w:color w:val="808080"/>
          <w:sz w:val="18"/>
          <w:szCs w:val="18"/>
        </w:rPr>
        <w:t xml:space="preserve">Fin del documento DOC-001 — Estructura Documental</w:t>
      </w:r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6"/>
        <w:szCs w:val="16"/>
      </w:rPr>
      <w:t xml:space="preserve">  | 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jc w:val="right"/>
    </w:pPr>
    <w:r>
      <w:rPr>
        <w:color w:val="808080"/>
        <w:sz w:val="16"/>
        <w:szCs w:val="16"/>
      </w:rPr>
      <w:t xml:space="preserve">DOC-001 · Estructura Documental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2026-08-03T22:16:29.658Z</dcterms:created>
  <dcterms:modified xsi:type="dcterms:W3CDTF">2026-08-03T22:16:29.686Z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