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IAM-001</w:t>
      </w:r>
    </w:p>
    <w:p>
      <w:pPr>
        <w:spacing w:after="120" w:before="240"/>
        <w:jc w:val="center"/>
      </w:pPr>
      <w:r>
        <w:rPr>
          <w:b/>
          <w:bCs/>
          <w:color w:val="1F3864"/>
          <w:sz w:val="56"/>
          <w:szCs w:val="56"/>
        </w:rPr>
        <w:t xml:space="preserve">Modelo de Identidad y Acceso</w:t>
      </w:r>
    </w:p>
    <w:p>
      <w:pPr>
        <w:spacing w:after="600"/>
        <w:jc w:val="center"/>
      </w:pPr>
      <w:r>
        <w:rPr>
          <w:i/>
          <w:iCs/>
          <w:color w:val="595959"/>
          <w:sz w:val="24"/>
          <w:szCs w:val="24"/>
        </w:rPr>
        <w:t xml:space="preserve">Gestión de identidades, control de acceso basado en roles, cuentas de servicio y accesos privilegiados</w:t>
      </w:r>
    </w:p>
    <w:p>
      <w:pPr>
        <w:spacing w:before="1600"/>
        <w:jc w:val="center"/>
      </w:pPr>
      <w:r>
        <w:rPr>
          <w:color w:val="595959"/>
          <w:sz w:val="22"/>
          <w:szCs w:val="22"/>
        </w:rPr>
        <w:t xml:space="preserve">Versión 1.0  ·  Agosto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establece el modelo de identidad y acceso de cumplimiento obligatorio para toda persona, cuenta de servicio e integración que interactúe con las plataformas DevSecOps, cloud y de gestión de secretos de la organización. Su vigencia, distribución y modificaciones están sujetas al proceso de gestión documental descrito a continuación.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IAM-001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restringida a Seguridad, Plataforma, Dev, Ops y Auditoría Interna.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Chief Information Security Officer (CISO)</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Semestral, o ante la incorporación de una nueva plataforma crítica o cambio en el proveedor de identidad.</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2027-02-01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Incumplimiento</w:t>
            </w:r>
          </w:p>
        </w:tc>
        <w:tc>
          <w:tcPr>
            <w:tcW w:type="dxa" w:w="7000"/>
            <w:tcMar>
              <w:top w:type="dxa" w:w="80"/>
              <w:left w:type="dxa" w:w="100"/>
              <w:bottom w:type="dxa" w:w="80"/>
              <w:right w:type="dxa" w:w="100"/>
            </w:tcMar>
            <w:vAlign w:val="center"/>
          </w:tcPr>
          <w:p>
            <w:pPr>
              <w:jc w:val="left"/>
            </w:pPr>
            <w:r>
              <w:rPr>
                <w:b w:val="false"/>
                <w:bCs w:val="false"/>
                <w:color w:val="000000"/>
              </w:rPr>
              <w:t xml:space="preserve">El otorgamiento de accesos fuera de este modelo constituye una desviación de seguridad reportable y gestionada conforme a SEC-001.</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2026-05-18</w:t>
            </w:r>
          </w:p>
        </w:tc>
        <w:tc>
          <w:tcPr>
            <w:tcW w:type="dxa" w:w="2550"/>
            <w:tcMar>
              <w:top w:type="dxa" w:w="80"/>
              <w:left w:type="dxa" w:w="100"/>
              <w:bottom w:type="dxa" w:w="80"/>
              <w:right w:type="dxa" w:w="100"/>
            </w:tcMar>
            <w:vAlign w:val="center"/>
          </w:tcPr>
          <w:p>
            <w:pPr>
              <w:jc w:val="left"/>
            </w:pPr>
            <w:r>
              <w:rPr>
                <w:b w:val="false"/>
                <w:bCs w:val="false"/>
                <w:color w:val="000000"/>
              </w:rPr>
              <w:t xml:space="preserve">Oficina de Seguridad de la Información (CISO)</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del modelo de identidad, RBAC y cuentas de servicio.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2026-06-25</w:t>
            </w:r>
          </w:p>
        </w:tc>
        <w:tc>
          <w:tcPr>
            <w:tcW w:type="dxa" w:w="2550"/>
            <w:tcMar>
              <w:top w:type="dxa" w:w="80"/>
              <w:left w:type="dxa" w:w="100"/>
              <w:bottom w:type="dxa" w:w="80"/>
              <w:right w:type="dxa" w:w="100"/>
            </w:tcMar>
            <w:vAlign w:val="center"/>
          </w:tcPr>
          <w:p>
            <w:pPr>
              <w:jc w:val="left"/>
            </w:pPr>
            <w:r>
              <w:rPr>
                <w:b w:val="false"/>
                <w:bCs w:val="false"/>
                <w:color w:val="000000"/>
              </w:rPr>
              <w:t xml:space="preserve">Comité de Gobierno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PAM/JIT, protocolo break-glass y matriz de mapeo SSO.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2026-08-01</w:t>
            </w:r>
          </w:p>
        </w:tc>
        <w:tc>
          <w:tcPr>
            <w:tcW w:type="dxa" w:w="2550"/>
            <w:tcMar>
              <w:top w:type="dxa" w:w="80"/>
              <w:left w:type="dxa" w:w="100"/>
              <w:bottom w:type="dxa" w:w="80"/>
              <w:right w:type="dxa" w:w="100"/>
            </w:tcMar>
            <w:vAlign w:val="center"/>
          </w:tcPr>
          <w:p>
            <w:pPr>
              <w:jc w:val="left"/>
            </w:pPr>
            <w:r>
              <w:rPr>
                <w:b w:val="false"/>
                <w:bCs w:val="false"/>
                <w:color w:val="000000"/>
              </w:rPr>
              <w:t xml:space="preserve">CISO / Comité de Gobierno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políticas.</w:t>
            </w:r>
          </w:p>
        </w:tc>
      </w:tr>
    </w:tbl>
    <w:p>
      <w:pPr>
        <w:pStyle w:val="Heading1"/>
        <w:pageBreakBefore/>
        <w:spacing w:after="240" w:before="480"/>
      </w:pPr>
      <w:r>
        <w:rPr>
          <w:b/>
          <w:bCs/>
        </w:rPr>
        <w:t xml:space="preserve">2. Propósito y Principios de Accesos (Least Privilege, Need-to-Know)</w:t>
      </w:r>
    </w:p>
    <w:p>
      <w:pPr>
        <w:spacing w:after="200" w:line="276"/>
      </w:pPr>
      <w:r>
        <w:t xml:space="preserve">Este documento define cómo se gestionan las identidades, los permisos y los accesos privilegiados a lo largo de todo el ecosistema tecnológico descrito en ARC-001. Todo acceso otorgado en la organización se rige por dos principios rectores, sin excepción:</w:t>
      </w:r>
    </w:p>
    <w:p>
      <w:pPr>
        <w:pStyle w:val="ListParagraph"/>
        <w:numPr>
          <w:ilvl w:val="0"/>
          <w:numId w:val="2"/>
        </w:numPr>
        <w:spacing w:after="120"/>
      </w:pPr>
      <w:r>
        <w:rPr>
          <w:b/>
          <w:bCs/>
        </w:rPr>
        <w:t xml:space="preserve">Mínimo Privilegio (Least Privilege): </w:t>
      </w:r>
      <w:r>
        <w:t xml:space="preserve">Ningún usuario, rol o cuenta de servicio recibe más permisos que los estrictamente necesarios para cumplir su función. Los permisos amplios o administrativos son la excepción, justificada y con vigencia limitada, no la configuración por defecto.</w:t>
      </w:r>
    </w:p>
    <w:p>
      <w:pPr>
        <w:pStyle w:val="ListParagraph"/>
        <w:numPr>
          <w:ilvl w:val="0"/>
          <w:numId w:val="2"/>
        </w:numPr>
        <w:spacing w:after="120"/>
      </w:pPr>
      <w:r>
        <w:rPr>
          <w:b/>
          <w:bCs/>
        </w:rPr>
        <w:t xml:space="preserve">Necesidad de Conocer (Need-to-Know): </w:t>
      </w:r>
      <w:r>
        <w:t xml:space="preserve">El acceso a información o sistemas se otorga únicamente cuando existe una necesidad legítima y demostrable de negocio, independientemente del nivel jerárquico de quien lo solicita.</w:t>
      </w:r>
    </w:p>
    <w:p>
      <w:pPr>
        <w:spacing w:after="200" w:line="276"/>
      </w:pPr>
      <w:r>
        <w:t xml:space="preserve">Estos principios se aplican de forma transversal a los capítulos siguientes: desde la autenticación de usuarios humanos (capítulo 3) hasta la elevación temporal de privilegios en emergencias (capítulo 6). Cualquier acceso que no pueda justificarse bajo estos dos principios debe revocarse, independientemente de cuánto tiempo lleve otorgado.</w:t>
      </w:r>
    </w:p>
    <w:p>
      <w:pPr>
        <w:pStyle w:val="Heading1"/>
        <w:pageBreakBefore/>
        <w:spacing w:after="240" w:before="480"/>
      </w:pPr>
      <w:r>
        <w:rPr>
          <w:b/>
          <w:bCs/>
        </w:rPr>
        <w:t xml:space="preserve">3. Gestión de Identidades de Usuario</w:t>
      </w:r>
    </w:p>
    <w:p>
      <w:pPr>
        <w:spacing w:after="200" w:line="276"/>
      </w:pPr>
      <w:r>
        <w:t xml:space="preserve">Este capítulo define cómo se autentican los usuarios humanos y cómo se gestiona el ciclo de vida completo de sus cuentas, desde su creación hasta su revocación.</w:t>
      </w:r>
    </w:p>
    <w:p>
      <w:pPr>
        <w:pStyle w:val="Heading2"/>
        <w:spacing w:after="180" w:before="360"/>
      </w:pPr>
      <w:r>
        <w:rPr>
          <w:b/>
          <w:bCs/>
        </w:rPr>
        <w:t xml:space="preserve">3.1. Integración con Proveedor de Identidad Central (IdP / SSO)</w:t>
      </w:r>
    </w:p>
    <w:p>
      <w:pPr>
        <w:spacing w:after="200" w:line="276"/>
      </w:pPr>
      <w:r>
        <w:t xml:space="preserve">Toda plataforma tecnológica de la organización —GitLab, proveedores cloud, gestor de secretos y herramientas de observabilidad— debe integrarse obligatoriamente con el proveedor de identidad corporativo (IdP) mediante autenticación federada (OIDC/SAML), conforme a lo establecido en ARC-001, sección 2.2.</w:t>
      </w:r>
    </w:p>
    <w:p>
      <w:pPr>
        <w:pStyle w:val="ListParagraph"/>
        <w:numPr>
          <w:ilvl w:val="0"/>
          <w:numId w:val="2"/>
        </w:numPr>
        <w:spacing w:after="120"/>
      </w:pPr>
      <w:r>
        <w:t xml:space="preserve">Queda prohibida la creación de usuarios y contraseñas locales en cualquier plataforma que soporte integración SSO.</w:t>
      </w:r>
    </w:p>
    <w:p>
      <w:pPr>
        <w:pStyle w:val="ListParagraph"/>
        <w:numPr>
          <w:ilvl w:val="0"/>
          <w:numId w:val="2"/>
        </w:numPr>
        <w:spacing w:after="120"/>
      </w:pPr>
      <w:r>
        <w:t xml:space="preserve">La pertenencia a grupos del IdP es la única fuente de verdad para la asignación de roles (ver capítulo 4 y anexo 8.1); los permisos no se asignan manualmente por plataforma.</w:t>
      </w:r>
    </w:p>
    <w:p>
      <w:pPr>
        <w:pStyle w:val="ListParagraph"/>
        <w:numPr>
          <w:ilvl w:val="0"/>
          <w:numId w:val="2"/>
        </w:numPr>
        <w:spacing w:after="120"/>
      </w:pPr>
      <w:r>
        <w:t xml:space="preserve">Toda excepción a la autenticación federada (por ejemplo, una herramienta legada sin soporte SSO) requiere aprobación de Seguridad y queda registrada como riesgo compensado.</w:t>
      </w:r>
    </w:p>
    <w:p>
      <w:pPr>
        <w:pStyle w:val="Heading2"/>
        <w:spacing w:after="180" w:before="360"/>
      </w:pPr>
      <w:r>
        <w:rPr>
          <w:b/>
          <w:bCs/>
        </w:rPr>
        <w:t xml:space="preserve">3.2. Autenticación Multi-Factor Mandatoria (MFA)</w:t>
      </w:r>
    </w:p>
    <w:p>
      <w:pPr>
        <w:spacing w:after="200" w:line="276"/>
      </w:pPr>
      <w:r>
        <w:t xml:space="preserve">La autenticación multi-factor es obligatoria, sin excepción, para toda cuenta humana con acceso a sistemas productivos, repositorios de código o gestión de infraestructura.</w:t>
      </w:r>
    </w:p>
    <w:p>
      <w:pPr>
        <w:pStyle w:val="ListParagraph"/>
        <w:numPr>
          <w:ilvl w:val="0"/>
          <w:numId w:val="2"/>
        </w:numPr>
        <w:spacing w:after="120"/>
      </w:pPr>
      <w:r>
        <w:t xml:space="preserve">El segundo factor debe ser resistente a phishing (llave de seguridad FIDO2/WebAuthn o aplicación de autenticación); se desaconseja y se planifica el retiro de MFA basado exclusivamente en SMS.</w:t>
      </w:r>
    </w:p>
    <w:p>
      <w:pPr>
        <w:pStyle w:val="ListParagraph"/>
        <w:numPr>
          <w:ilvl w:val="0"/>
          <w:numId w:val="2"/>
        </w:numPr>
        <w:spacing w:after="120"/>
      </w:pPr>
      <w:r>
        <w:t xml:space="preserve">El acceso a cuentas con permisos administrativos o privilegiados (sección 6) exige verificación de MFA en cada elevación, no solo en el inicio de sesión general.</w:t>
      </w:r>
    </w:p>
    <w:p>
      <w:pPr>
        <w:pStyle w:val="ListParagraph"/>
        <w:numPr>
          <w:ilvl w:val="0"/>
          <w:numId w:val="2"/>
        </w:numPr>
        <w:spacing w:after="120"/>
      </w:pPr>
      <w:r>
        <w:t xml:space="preserve">Ninguna cuenta puede desactivar su propio MFA; la desactivación requiere intervención del Administrador de Plataforma con registro de auditoría (capítulo 7).</w:t>
      </w:r>
    </w:p>
    <w:p>
      <w:pPr>
        <w:pStyle w:val="Heading2"/>
        <w:spacing w:after="180" w:before="360"/>
      </w:pPr>
      <w:r>
        <w:rPr>
          <w:b/>
          <w:bCs/>
        </w:rPr>
        <w:t xml:space="preserve">3.3. Ciclo de Vida de Cuentas de Usuario (Onboarding, Offboarding, Revisiones Periódicas)</w:t>
      </w:r>
    </w:p>
    <w:p>
      <w:pPr>
        <w:pStyle w:val="ListParagraph"/>
        <w:numPr>
          <w:ilvl w:val="0"/>
          <w:numId w:val="2"/>
        </w:numPr>
        <w:spacing w:after="120"/>
      </w:pPr>
      <w:r>
        <w:rPr>
          <w:b/>
          <w:bCs/>
        </w:rPr>
        <w:t xml:space="preserve">Onboarding: </w:t>
      </w:r>
      <w:r>
        <w:t xml:space="preserve">La creación de una cuenta se dispara automáticamente desde el sistema de Recursos Humanos al confirmarse el ingreso, asignando los grupos SSO correspondientes al rol del anexo 8.1.</w:t>
      </w:r>
    </w:p>
    <w:p>
      <w:pPr>
        <w:pStyle w:val="ListParagraph"/>
        <w:numPr>
          <w:ilvl w:val="0"/>
          <w:numId w:val="2"/>
        </w:numPr>
        <w:spacing w:after="120"/>
      </w:pPr>
      <w:r>
        <w:rPr>
          <w:b/>
          <w:bCs/>
        </w:rPr>
        <w:t xml:space="preserve">Offboarding: </w:t>
      </w:r>
      <w:r>
        <w:t xml:space="preserve">La desvinculación de personal dispara la revocación automática de todos los accesos en un plazo máximo de 24 horas, verificada de forma independiente por el Administrador de Plataforma (ver tabla de auditoría, capítulo 7).</w:t>
      </w:r>
    </w:p>
    <w:p>
      <w:pPr>
        <w:pStyle w:val="ListParagraph"/>
        <w:numPr>
          <w:ilvl w:val="0"/>
          <w:numId w:val="2"/>
        </w:numPr>
        <w:spacing w:after="120"/>
      </w:pPr>
      <w:r>
        <w:rPr>
          <w:b/>
          <w:bCs/>
        </w:rPr>
        <w:t xml:space="preserve">Revisión periódica: </w:t>
      </w:r>
      <w:r>
        <w:t xml:space="preserve">Todo acceso se recertifica formalmente cada trimestre por el líder directo del usuario; un acceso no recertificado se revoca automáticamente al vencer el plazo.</w:t>
      </w:r>
    </w:p>
    <w:p>
      <w:pPr>
        <w:pStyle w:val="ListParagraph"/>
        <w:numPr>
          <w:ilvl w:val="0"/>
          <w:numId w:val="2"/>
        </w:numPr>
        <w:spacing w:after="120"/>
      </w:pPr>
      <w:r>
        <w:rPr>
          <w:b/>
          <w:bCs/>
        </w:rPr>
        <w:t xml:space="preserve">Cambio de rol: </w:t>
      </w:r>
      <w:r>
        <w:t xml:space="preserve">Un cambio de rol interno (movimiento entre equipos) dispara una revisión de accesos, evitando la acumulación progresiva de permisos de roles anteriores (privilege creep).</w:t>
      </w:r>
    </w:p>
    <w:p>
      <w:pPr>
        <w:pStyle w:val="Heading1"/>
        <w:pageBreakBefore/>
        <w:spacing w:after="240" w:before="480"/>
      </w:pPr>
      <w:r>
        <w:rPr>
          <w:b/>
          <w:bCs/>
        </w:rPr>
        <w:t xml:space="preserve">4. Modelo de Control de Acceso Basado en Roles (RBAC)</w:t>
      </w:r>
    </w:p>
    <w:p>
      <w:pPr>
        <w:spacing w:after="200" w:line="276"/>
      </w:pPr>
      <w:r>
        <w:t xml:space="preserve">Este capítulo define los roles corporativos estándar y su traducción a permisos concretos en las plataformas DevSecOps, así como la segregación obligatoria de funciones entre ambientes de desarrollo y producción.</w:t>
      </w:r>
    </w:p>
    <w:p>
      <w:pPr>
        <w:pStyle w:val="Heading2"/>
        <w:spacing w:after="180" w:before="360"/>
      </w:pPr>
      <w:r>
        <w:rPr>
          <w:b/>
          <w:bCs/>
        </w:rPr>
        <w:t xml:space="preserve">4.1. Matriz de Roles y Permisos en Herramientas DevSecOps (GitLab, Cloud, Vault)</w:t>
      </w:r>
    </w:p>
    <w:p>
      <w:pPr>
        <w:spacing w:after="200" w:line="276"/>
      </w:pPr>
      <w:r>
        <w:t xml:space="preserve">Todo permiso se asigna a través de un rol corporativo, nunca directamente a un individuo. La siguiente matriz resume el mapeo estándar; el detalle completo de asignación por grupo SSO se encuentra en el anexo 8.1.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0"/>
        <w:gridCol w:w="2450"/>
        <w:gridCol w:w="2450"/>
        <w:gridCol w:w="2400"/>
      </w:tblGrid>
      <w:tr>
        <w:trPr>
          <w:tblHeader/>
        </w:trPr>
        <w:tc>
          <w:tcPr>
            <w:tcW w:type="dxa" w:w="2050"/>
            <w:shd w:fill="1F3864" w:val="clear"/>
            <w:tcMar>
              <w:top w:type="dxa" w:w="80"/>
              <w:left w:type="dxa" w:w="100"/>
              <w:bottom w:type="dxa" w:w="80"/>
              <w:right w:type="dxa" w:w="100"/>
            </w:tcMar>
            <w:vAlign w:val="center"/>
          </w:tcPr>
          <w:p>
            <w:pPr>
              <w:jc w:val="left"/>
            </w:pPr>
            <w:r>
              <w:rPr>
                <w:b/>
                <w:bCs/>
                <w:color w:val="FFFFFF"/>
              </w:rPr>
              <w:t xml:space="preserve">Rol Corporativo</w:t>
            </w:r>
          </w:p>
        </w:tc>
        <w:tc>
          <w:tcPr>
            <w:tcW w:type="dxa" w:w="2450"/>
            <w:shd w:fill="1F3864" w:val="clear"/>
            <w:tcMar>
              <w:top w:type="dxa" w:w="80"/>
              <w:left w:type="dxa" w:w="100"/>
              <w:bottom w:type="dxa" w:w="80"/>
              <w:right w:type="dxa" w:w="100"/>
            </w:tcMar>
            <w:vAlign w:val="center"/>
          </w:tcPr>
          <w:p>
            <w:pPr>
              <w:jc w:val="left"/>
            </w:pPr>
            <w:r>
              <w:rPr>
                <w:b/>
                <w:bCs/>
                <w:color w:val="FFFFFF"/>
              </w:rPr>
              <w:t xml:space="preserve">GitLab</w:t>
            </w:r>
          </w:p>
        </w:tc>
        <w:tc>
          <w:tcPr>
            <w:tcW w:type="dxa" w:w="2450"/>
            <w:shd w:fill="1F3864" w:val="clear"/>
            <w:tcMar>
              <w:top w:type="dxa" w:w="80"/>
              <w:left w:type="dxa" w:w="100"/>
              <w:bottom w:type="dxa" w:w="80"/>
              <w:right w:type="dxa" w:w="100"/>
            </w:tcMar>
            <w:vAlign w:val="center"/>
          </w:tcPr>
          <w:p>
            <w:pPr>
              <w:jc w:val="left"/>
            </w:pPr>
            <w:r>
              <w:rPr>
                <w:b/>
                <w:bCs/>
                <w:color w:val="FFFFFF"/>
              </w:rPr>
              <w:t xml:space="preserve">Cloud (AWS / Azure)</w:t>
            </w:r>
          </w:p>
        </w:tc>
        <w:tc>
          <w:tcPr>
            <w:tcW w:type="dxa" w:w="2400"/>
            <w:shd w:fill="1F3864" w:val="clear"/>
            <w:tcMar>
              <w:top w:type="dxa" w:w="80"/>
              <w:left w:type="dxa" w:w="100"/>
              <w:bottom w:type="dxa" w:w="80"/>
              <w:right w:type="dxa" w:w="100"/>
            </w:tcMar>
            <w:vAlign w:val="center"/>
          </w:tcPr>
          <w:p>
            <w:pPr>
              <w:jc w:val="left"/>
            </w:pPr>
            <w:r>
              <w:rPr>
                <w:b/>
                <w:bCs/>
                <w:color w:val="FFFFFF"/>
              </w:rPr>
              <w:t xml:space="preserve">Vault (Gestor de Secretos)</w:t>
            </w:r>
          </w:p>
        </w:tc>
      </w:tr>
      <w:tr>
        <w:tc>
          <w:tcPr>
            <w:tcW w:type="dxa" w:w="2050"/>
            <w:shd w:fill="FFFFFF" w:val="clear"/>
            <w:tcMar>
              <w:top w:type="dxa" w:w="80"/>
              <w:left w:type="dxa" w:w="100"/>
              <w:bottom w:type="dxa" w:w="80"/>
              <w:right w:type="dxa" w:w="100"/>
            </w:tcMar>
            <w:vAlign w:val="center"/>
          </w:tcPr>
          <w:p>
            <w:pPr>
              <w:jc w:val="left"/>
            </w:pPr>
            <w:r>
              <w:rPr>
                <w:b w:val="false"/>
                <w:bCs w:val="false"/>
                <w:color w:val="000000"/>
              </w:rPr>
              <w:t xml:space="preserve">Developer</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Developer: escritura en ramas de feature, sin permiso de merge a main.</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Solo lectura en cuentas de desarrollo; sin acceso a producción.</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Lectura de secretos de su propio proyecto en ambiente no productivo.</w:t>
            </w:r>
          </w:p>
        </w:tc>
      </w:tr>
      <w:tr>
        <w:tc>
          <w:tcPr>
            <w:tcW w:type="dxa" w:w="2050"/>
            <w:shd w:fill="F2F2F2" w:val="clear"/>
            <w:tcMar>
              <w:top w:type="dxa" w:w="80"/>
              <w:left w:type="dxa" w:w="100"/>
              <w:bottom w:type="dxa" w:w="80"/>
              <w:right w:type="dxa" w:w="100"/>
            </w:tcMar>
            <w:vAlign w:val="center"/>
          </w:tcPr>
          <w:p>
            <w:pPr>
              <w:jc w:val="left"/>
            </w:pPr>
            <w:r>
              <w:rPr>
                <w:b w:val="false"/>
                <w:bCs w:val="false"/>
                <w:color w:val="000000"/>
              </w:rPr>
              <w:t xml:space="preserve">Tech Lead</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Maintainer: aprobación de Merge Requests, gestión de protección de ramas.</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Lectura en producción; escritura en desarrollo y preproducción.</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Lectura de secretos de su dominio en todos los ambientes no productivos.</w:t>
            </w:r>
          </w:p>
        </w:tc>
      </w:tr>
      <w:tr>
        <w:tc>
          <w:tcPr>
            <w:tcW w:type="dxa" w:w="2050"/>
            <w:shd w:fill="FFFFFF" w:val="clear"/>
            <w:tcMar>
              <w:top w:type="dxa" w:w="80"/>
              <w:left w:type="dxa" w:w="100"/>
              <w:bottom w:type="dxa" w:w="80"/>
              <w:right w:type="dxa" w:w="100"/>
            </w:tcMar>
            <w:vAlign w:val="center"/>
          </w:tcPr>
          <w:p>
            <w:pPr>
              <w:jc w:val="left"/>
            </w:pPr>
            <w:r>
              <w:rPr>
                <w:b w:val="false"/>
                <w:bCs w:val="false"/>
                <w:color w:val="000000"/>
              </w:rPr>
              <w:t xml:space="preserve">SRE / Operaciones</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Maintainer en proyectos de infraestructura; Reporter en proyectos de aplicación.</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Escritura en toda la infraestructura mediante IaC; sin acceso directo interactivo salvo break-glass (sección 6.1).</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Lectura y rotación de secretos de infraestructura.</w:t>
            </w:r>
          </w:p>
        </w:tc>
      </w:tr>
      <w:tr>
        <w:tc>
          <w:tcPr>
            <w:tcW w:type="dxa" w:w="2050"/>
            <w:shd w:fill="F2F2F2" w:val="clear"/>
            <w:tcMar>
              <w:top w:type="dxa" w:w="80"/>
              <w:left w:type="dxa" w:w="100"/>
              <w:bottom w:type="dxa" w:w="80"/>
              <w:right w:type="dxa" w:w="100"/>
            </w:tcMar>
            <w:vAlign w:val="center"/>
          </w:tcPr>
          <w:p>
            <w:pPr>
              <w:jc w:val="left"/>
            </w:pPr>
            <w:r>
              <w:rPr>
                <w:b w:val="false"/>
                <w:bCs w:val="false"/>
                <w:color w:val="000000"/>
              </w:rPr>
              <w:t xml:space="preserve">Security Champion</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Reporter con acceso ampliado a resultados de seguridad (SAST/DAST/SCA).</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Solo lectura, con foco en hallazgos de configuración.</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Sin acceso a valores de secretos; solo a metadatos de rotación y políticas.</w:t>
            </w:r>
          </w:p>
        </w:tc>
      </w:tr>
      <w:tr>
        <w:tc>
          <w:tcPr>
            <w:tcW w:type="dxa" w:w="2050"/>
            <w:shd w:fill="FFFFFF" w:val="clear"/>
            <w:tcMar>
              <w:top w:type="dxa" w:w="80"/>
              <w:left w:type="dxa" w:w="100"/>
              <w:bottom w:type="dxa" w:w="80"/>
              <w:right w:type="dxa" w:w="100"/>
            </w:tcMar>
            <w:vAlign w:val="center"/>
          </w:tcPr>
          <w:p>
            <w:pPr>
              <w:jc w:val="left"/>
            </w:pPr>
            <w:r>
              <w:rPr>
                <w:b w:val="false"/>
                <w:bCs w:val="false"/>
                <w:color w:val="000000"/>
              </w:rPr>
              <w:t xml:space="preserve">Administrador de Plataforma</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Owner a nivel de grupo/organización.</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Administrador con acceso completo, sujeto a MFA y PAM (capítulo 6).</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Administrador de políticas de acceso; no de valores de secretos de aplicación.</w:t>
            </w:r>
          </w:p>
        </w:tc>
      </w:tr>
      <w:tr>
        <w:tc>
          <w:tcPr>
            <w:tcW w:type="dxa" w:w="2050"/>
            <w:shd w:fill="F2F2F2" w:val="clear"/>
            <w:tcMar>
              <w:top w:type="dxa" w:w="80"/>
              <w:left w:type="dxa" w:w="100"/>
              <w:bottom w:type="dxa" w:w="80"/>
              <w:right w:type="dxa" w:w="100"/>
            </w:tcMar>
            <w:vAlign w:val="center"/>
          </w:tcPr>
          <w:p>
            <w:pPr>
              <w:jc w:val="left"/>
            </w:pPr>
            <w:r>
              <w:rPr>
                <w:b w:val="false"/>
                <w:bCs w:val="false"/>
                <w:color w:val="000000"/>
              </w:rPr>
              <w:t xml:space="preserve">Auditor</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Reporter de solo lectura en todos los proyectos.</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Solo lectura de logs y configuración, sin acceso a datos de aplicación.</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Solo lectura de logs de acceso y políticas, nunca de valores de secretos.</w:t>
            </w:r>
          </w:p>
        </w:tc>
      </w:tr>
    </w:tbl>
    <w:p>
      <w:pPr>
        <w:pStyle w:val="Heading2"/>
        <w:spacing w:after="180" w:before="360"/>
      </w:pPr>
      <w:r>
        <w:rPr>
          <w:b/>
          <w:bCs/>
        </w:rPr>
        <w:t xml:space="preserve">4.2. Segregación Estricta de Funciones (Separation of Duties - SoD) entre Dev y Prod</w:t>
      </w:r>
    </w:p>
    <w:p>
      <w:pPr>
        <w:spacing w:after="200" w:line="276"/>
      </w:pPr>
      <w:r>
        <w:t xml:space="preserve">Ninguna persona puede concentrar, para un mismo cambio, las funciones de creación, aprobación y despliegue a producción. Esta segregación es un control compensatorio clave frente a errores y actividad maliciosa.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350"/>
        <w:gridCol w:w="2350"/>
        <w:gridCol w:w="255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rPr>
              <w:t xml:space="preserve">Función</w:t>
            </w:r>
          </w:p>
        </w:tc>
        <w:tc>
          <w:tcPr>
            <w:tcW w:type="dxa" w:w="2350"/>
            <w:shd w:fill="1F3864" w:val="clear"/>
            <w:tcMar>
              <w:top w:type="dxa" w:w="80"/>
              <w:left w:type="dxa" w:w="100"/>
              <w:bottom w:type="dxa" w:w="80"/>
              <w:right w:type="dxa" w:w="100"/>
            </w:tcMar>
            <w:vAlign w:val="center"/>
          </w:tcPr>
          <w:p>
            <w:pPr>
              <w:jc w:val="left"/>
            </w:pPr>
            <w:r>
              <w:rPr>
                <w:b/>
                <w:bCs/>
                <w:color w:val="FFFFFF"/>
              </w:rPr>
              <w:t xml:space="preserve">Rol Permitido en Desarrollo</w:t>
            </w:r>
          </w:p>
        </w:tc>
        <w:tc>
          <w:tcPr>
            <w:tcW w:type="dxa" w:w="2350"/>
            <w:shd w:fill="1F3864" w:val="clear"/>
            <w:tcMar>
              <w:top w:type="dxa" w:w="80"/>
              <w:left w:type="dxa" w:w="100"/>
              <w:bottom w:type="dxa" w:w="80"/>
              <w:right w:type="dxa" w:w="100"/>
            </w:tcMar>
            <w:vAlign w:val="center"/>
          </w:tcPr>
          <w:p>
            <w:pPr>
              <w:jc w:val="left"/>
            </w:pPr>
            <w:r>
              <w:rPr>
                <w:b/>
                <w:bCs/>
                <w:color w:val="FFFFFF"/>
              </w:rPr>
              <w:t xml:space="preserve">Rol Permitido en Producción</w:t>
            </w:r>
          </w:p>
        </w:tc>
        <w:tc>
          <w:tcPr>
            <w:tcW w:type="dxa" w:w="2550"/>
            <w:shd w:fill="1F3864" w:val="clear"/>
            <w:tcMar>
              <w:top w:type="dxa" w:w="80"/>
              <w:left w:type="dxa" w:w="100"/>
              <w:bottom w:type="dxa" w:w="80"/>
              <w:right w:type="dxa" w:w="100"/>
            </w:tcMar>
            <w:vAlign w:val="center"/>
          </w:tcPr>
          <w:p>
            <w:pPr>
              <w:jc w:val="left"/>
            </w:pPr>
            <w:r>
              <w:rPr>
                <w:b/>
                <w:bCs/>
                <w:color w:val="FFFFFF"/>
              </w:rPr>
              <w:t xml:space="preserve">Regla de Segregación</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Escribir código</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Developer</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Sin acceso directo</w:t>
            </w:r>
          </w:p>
        </w:tc>
        <w:tc>
          <w:tcPr>
            <w:tcW w:type="dxa" w:w="2550"/>
            <w:shd w:fill="FFFFFF" w:val="clear"/>
            <w:tcMar>
              <w:top w:type="dxa" w:w="80"/>
              <w:left w:type="dxa" w:w="100"/>
              <w:bottom w:type="dxa" w:w="80"/>
              <w:right w:type="dxa" w:w="100"/>
            </w:tcMar>
            <w:vAlign w:val="center"/>
          </w:tcPr>
          <w:p>
            <w:pPr>
              <w:jc w:val="left"/>
            </w:pPr>
            <w:r>
              <w:rPr>
                <w:b w:val="false"/>
                <w:bCs w:val="false"/>
                <w:color w:val="000000"/>
              </w:rPr>
              <w:t xml:space="preserve">Quien escribe el código no puede autoaprobar su propio despliegue a producción.</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Aprobar Merge Request</w:t>
            </w:r>
          </w:p>
        </w:tc>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Tech Lead / par revisor</w:t>
            </w:r>
          </w:p>
        </w:tc>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No aplica (se aprueba antes del despliegue)</w:t>
            </w:r>
          </w:p>
        </w:tc>
        <w:tc>
          <w:tcPr>
            <w:tcW w:type="dxa" w:w="2550"/>
            <w:shd w:fill="F2F2F2" w:val="clear"/>
            <w:tcMar>
              <w:top w:type="dxa" w:w="80"/>
              <w:left w:type="dxa" w:w="100"/>
              <w:bottom w:type="dxa" w:w="80"/>
              <w:right w:type="dxa" w:w="100"/>
            </w:tcMar>
            <w:vAlign w:val="center"/>
          </w:tcPr>
          <w:p>
            <w:pPr>
              <w:jc w:val="left"/>
            </w:pPr>
            <w:r>
              <w:rPr>
                <w:b w:val="false"/>
                <w:bCs w:val="false"/>
                <w:color w:val="000000"/>
              </w:rPr>
              <w:t xml:space="preserve">El aprobador nunca es el mismo autor del cambio (ver ENG-001, sección 3.3).</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Ejecutar despliegue a producción</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No aplica</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Pipeline automatizado con aprobación registrada</w:t>
            </w:r>
          </w:p>
        </w:tc>
        <w:tc>
          <w:tcPr>
            <w:tcW w:type="dxa" w:w="2550"/>
            <w:shd w:fill="FFFFFF" w:val="clear"/>
            <w:tcMar>
              <w:top w:type="dxa" w:w="80"/>
              <w:left w:type="dxa" w:w="100"/>
              <w:bottom w:type="dxa" w:w="80"/>
              <w:right w:type="dxa" w:w="100"/>
            </w:tcMar>
            <w:vAlign w:val="center"/>
          </w:tcPr>
          <w:p>
            <w:pPr>
              <w:jc w:val="left"/>
            </w:pPr>
            <w:r>
              <w:rPr>
                <w:b w:val="false"/>
                <w:bCs w:val="false"/>
                <w:color w:val="000000"/>
              </w:rPr>
              <w:t xml:space="preserve">Ningún humano ejecuta un despliegue a producción de forma manual e interactiva.</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Administrar permisos de acceso</w:t>
            </w:r>
          </w:p>
        </w:tc>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Administrador de Plataforma</w:t>
            </w:r>
          </w:p>
        </w:tc>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Administrador de Plataforma</w:t>
            </w:r>
          </w:p>
        </w:tc>
        <w:tc>
          <w:tcPr>
            <w:tcW w:type="dxa" w:w="2550"/>
            <w:shd w:fill="F2F2F2" w:val="clear"/>
            <w:tcMar>
              <w:top w:type="dxa" w:w="80"/>
              <w:left w:type="dxa" w:w="100"/>
              <w:bottom w:type="dxa" w:w="80"/>
              <w:right w:type="dxa" w:w="100"/>
            </w:tcMar>
            <w:vAlign w:val="center"/>
          </w:tcPr>
          <w:p>
            <w:pPr>
              <w:jc w:val="left"/>
            </w:pPr>
            <w:r>
              <w:rPr>
                <w:b w:val="false"/>
                <w:bCs w:val="false"/>
                <w:color w:val="000000"/>
              </w:rPr>
              <w:t xml:space="preserve">Quien administra permisos no puede ser también quien los audita (ver capítulo 7).</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Aprobar excepciones de seguridad</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CISO / Seguridad</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CISO / Seguridad</w:t>
            </w:r>
          </w:p>
        </w:tc>
        <w:tc>
          <w:tcPr>
            <w:tcW w:type="dxa" w:w="2550"/>
            <w:shd w:fill="FFFFFF" w:val="clear"/>
            <w:tcMar>
              <w:top w:type="dxa" w:w="80"/>
              <w:left w:type="dxa" w:w="100"/>
              <w:bottom w:type="dxa" w:w="80"/>
              <w:right w:type="dxa" w:w="100"/>
            </w:tcMar>
            <w:vAlign w:val="center"/>
          </w:tcPr>
          <w:p>
            <w:pPr>
              <w:jc w:val="left"/>
            </w:pPr>
            <w:r>
              <w:rPr>
                <w:b w:val="false"/>
                <w:bCs w:val="false"/>
                <w:color w:val="000000"/>
              </w:rPr>
              <w:t xml:space="preserve">El equipo de Seguridad no reporta jerárquicamente al equipo cuyo riesgo aprueba, conforme a GOB-001.</w:t>
            </w:r>
          </w:p>
        </w:tc>
      </w:tr>
    </w:tbl>
    <w:p>
      <w:pPr>
        <w:pStyle w:val="Heading1"/>
        <w:pageBreakBefore/>
        <w:spacing w:after="240" w:before="480"/>
      </w:pPr>
      <w:r>
        <w:rPr>
          <w:b/>
          <w:bCs/>
        </w:rPr>
        <w:t xml:space="preserve">5. Cuentas Técnicas y de Servicio (Service Accounts)</w:t>
      </w:r>
    </w:p>
    <w:p>
      <w:pPr>
        <w:spacing w:after="200" w:line="276"/>
      </w:pPr>
      <w:r>
        <w:t xml:space="preserve">Este capítulo establece cómo se crean, nombran y mantienen seguras las identidades no humanas utilizadas por pipelines, integraciones y automatizaciones.</w:t>
      </w:r>
    </w:p>
    <w:p>
      <w:pPr>
        <w:pStyle w:val="Heading2"/>
        <w:spacing w:after="180" w:before="360"/>
      </w:pPr>
      <w:r>
        <w:rPr>
          <w:b/>
          <w:bCs/>
        </w:rPr>
        <w:t xml:space="preserve">5.1. Criterios de Creación y Nombrado de Cuentas de Servicio</w:t>
      </w:r>
    </w:p>
    <w:p>
      <w:pPr>
        <w:spacing w:after="200" w:line="276"/>
      </w:pPr>
      <w:r>
        <w:t xml:space="preserve">Toda cuenta de servicio se crea a través de una solicitud formal aprobada por Seguridad, siguiendo una convención de nombrado que permite identificar su propósito y propietario sin necesidad de consultar documentación adicional.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550"/>
        <w:gridCol w:w="26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rPr>
              <w:t xml:space="preserve">Elemento</w:t>
            </w:r>
          </w:p>
        </w:tc>
        <w:tc>
          <w:tcPr>
            <w:tcW w:type="dxa" w:w="4550"/>
            <w:shd w:fill="1F3864" w:val="clear"/>
            <w:tcMar>
              <w:top w:type="dxa" w:w="80"/>
              <w:left w:type="dxa" w:w="100"/>
              <w:bottom w:type="dxa" w:w="80"/>
              <w:right w:type="dxa" w:w="100"/>
            </w:tcMar>
            <w:vAlign w:val="center"/>
          </w:tcPr>
          <w:p>
            <w:pPr>
              <w:jc w:val="left"/>
            </w:pPr>
            <w:r>
              <w:rPr>
                <w:b/>
                <w:bCs/>
                <w:color w:val="FFFFFF"/>
              </w:rPr>
              <w:t xml:space="preserve">Convención</w:t>
            </w:r>
          </w:p>
        </w:tc>
        <w:tc>
          <w:tcPr>
            <w:tcW w:type="dxa" w:w="2600"/>
            <w:shd w:fill="1F3864" w:val="clear"/>
            <w:tcMar>
              <w:top w:type="dxa" w:w="80"/>
              <w:left w:type="dxa" w:w="100"/>
              <w:bottom w:type="dxa" w:w="80"/>
              <w:right w:type="dxa" w:w="100"/>
            </w:tcMar>
            <w:vAlign w:val="center"/>
          </w:tcPr>
          <w:p>
            <w:pPr>
              <w:jc w:val="left"/>
            </w:pPr>
            <w:r>
              <w:rPr>
                <w:b/>
                <w:bCs/>
                <w:color w:val="FFFFFF"/>
              </w:rPr>
              <w:t xml:space="preserve">Ejemplo</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Patrón de nombre</w:t>
            </w:r>
          </w:p>
        </w:tc>
        <w:tc>
          <w:tcPr>
            <w:tcW w:type="dxa" w:w="4550"/>
            <w:shd w:fill="FFFFFF" w:val="clear"/>
            <w:tcMar>
              <w:top w:type="dxa" w:w="80"/>
              <w:left w:type="dxa" w:w="100"/>
              <w:bottom w:type="dxa" w:w="80"/>
              <w:right w:type="dxa" w:w="100"/>
            </w:tcMar>
            <w:vAlign w:val="center"/>
          </w:tcPr>
          <w:p>
            <w:pPr>
              <w:jc w:val="left"/>
            </w:pPr>
            <w:r>
              <w:rPr>
                <w:b w:val="false"/>
                <w:bCs w:val="false"/>
                <w:color w:val="000000"/>
              </w:rPr>
              <w:t xml:space="preserve">svc-&lt;dominio&gt;-&lt;propósito&gt;-&lt;ambiente&gt;</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svc-pagos-cicd-prod</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Propietario obligatorio</w:t>
            </w:r>
          </w:p>
        </w:tc>
        <w:tc>
          <w:tcPr>
            <w:tcW w:type="dxa" w:w="4550"/>
            <w:shd w:fill="F2F2F2" w:val="clear"/>
            <w:tcMar>
              <w:top w:type="dxa" w:w="80"/>
              <w:left w:type="dxa" w:w="100"/>
              <w:bottom w:type="dxa" w:w="80"/>
              <w:right w:type="dxa" w:w="100"/>
            </w:tcMar>
            <w:vAlign w:val="center"/>
          </w:tcPr>
          <w:p>
            <w:pPr>
              <w:jc w:val="left"/>
            </w:pPr>
            <w:r>
              <w:rPr>
                <w:b w:val="false"/>
                <w:bCs w:val="false"/>
                <w:color w:val="000000"/>
              </w:rPr>
              <w:t xml:space="preserve">Toda cuenta de servicio debe tener un equipo propietario registrado en el catálogo de cuentas técnicas.</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Equipo: Squad de Pagos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Alcance de permisos</w:t>
            </w:r>
          </w:p>
        </w:tc>
        <w:tc>
          <w:tcPr>
            <w:tcW w:type="dxa" w:w="4550"/>
            <w:shd w:fill="FFFFFF" w:val="clear"/>
            <w:tcMar>
              <w:top w:type="dxa" w:w="80"/>
              <w:left w:type="dxa" w:w="100"/>
              <w:bottom w:type="dxa" w:w="80"/>
              <w:right w:type="dxa" w:w="100"/>
            </w:tcMar>
            <w:vAlign w:val="center"/>
          </w:tcPr>
          <w:p>
            <w:pPr>
              <w:jc w:val="left"/>
            </w:pPr>
            <w:r>
              <w:rPr>
                <w:b w:val="false"/>
                <w:bCs w:val="false"/>
                <w:color w:val="000000"/>
              </w:rPr>
              <w:t xml:space="preserve">Mínimo privilegio explícito; prohibido el uso de roles administrativos genéricos.</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Permiso de lectura/escritura solo sobre el bucket S3 del dominio.</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Prohibición de uso compartido</w:t>
            </w:r>
          </w:p>
        </w:tc>
        <w:tc>
          <w:tcPr>
            <w:tcW w:type="dxa" w:w="4550"/>
            <w:shd w:fill="F2F2F2" w:val="clear"/>
            <w:tcMar>
              <w:top w:type="dxa" w:w="80"/>
              <w:left w:type="dxa" w:w="100"/>
              <w:bottom w:type="dxa" w:w="80"/>
              <w:right w:type="dxa" w:w="100"/>
            </w:tcMar>
            <w:vAlign w:val="center"/>
          </w:tcPr>
          <w:p>
            <w:pPr>
              <w:jc w:val="left"/>
            </w:pPr>
            <w:r>
              <w:rPr>
                <w:b w:val="false"/>
                <w:bCs w:val="false"/>
                <w:color w:val="000000"/>
              </w:rPr>
              <w:t xml:space="preserve">Ninguna cuenta de servicio puede utilizarse por más de un pipeline o integración sin justificación documentada.</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Revisión de vigencia</w:t>
            </w:r>
          </w:p>
        </w:tc>
        <w:tc>
          <w:tcPr>
            <w:tcW w:type="dxa" w:w="4550"/>
            <w:shd w:fill="FFFFFF" w:val="clear"/>
            <w:tcMar>
              <w:top w:type="dxa" w:w="80"/>
              <w:left w:type="dxa" w:w="100"/>
              <w:bottom w:type="dxa" w:w="80"/>
              <w:right w:type="dxa" w:w="100"/>
            </w:tcMar>
            <w:vAlign w:val="center"/>
          </w:tcPr>
          <w:p>
            <w:pPr>
              <w:jc w:val="left"/>
            </w:pPr>
            <w:r>
              <w:rPr>
                <w:b w:val="false"/>
                <w:bCs w:val="false"/>
                <w:color w:val="000000"/>
              </w:rPr>
              <w:t xml:space="preserve">Toda cuenta de servicio sin actividad en 90 días se marca para revisión y posible desactivación.</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w:t>
            </w:r>
          </w:p>
        </w:tc>
      </w:tr>
    </w:tbl>
    <w:p>
      <w:pPr>
        <w:pStyle w:val="Heading2"/>
        <w:spacing w:after="180" w:before="360"/>
      </w:pPr>
      <w:r>
        <w:rPr>
          <w:b/>
          <w:bCs/>
        </w:rPr>
        <w:t xml:space="preserve">5.2. Rotación Automática de Tokens y Llaves de API</w:t>
      </w:r>
    </w:p>
    <w:p>
      <w:pPr>
        <w:spacing w:after="200" w:line="276"/>
      </w:pPr>
      <w:r>
        <w:t xml:space="preserve">Toda credencial de una cuenta de servicio tiene una vigencia máxima definida y se rota de forma automatizada, sin intervención manual, salvo en escenarios de emergencia gestionados conforme al capítulo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2900"/>
            <w:shd w:fill="1F3864" w:val="clear"/>
            <w:tcMar>
              <w:top w:type="dxa" w:w="80"/>
              <w:left w:type="dxa" w:w="100"/>
              <w:bottom w:type="dxa" w:w="80"/>
              <w:right w:type="dxa" w:w="100"/>
            </w:tcMar>
            <w:vAlign w:val="center"/>
          </w:tcPr>
          <w:p>
            <w:pPr>
              <w:jc w:val="left"/>
            </w:pPr>
            <w:r>
              <w:rPr>
                <w:b/>
                <w:bCs/>
                <w:color w:val="FFFFFF"/>
              </w:rPr>
              <w:t xml:space="preserve">Tipo de Credencial</w:t>
            </w:r>
          </w:p>
        </w:tc>
        <w:tc>
          <w:tcPr>
            <w:tcW w:type="dxa" w:w="3200"/>
            <w:shd w:fill="1F3864" w:val="clear"/>
            <w:tcMar>
              <w:top w:type="dxa" w:w="80"/>
              <w:left w:type="dxa" w:w="100"/>
              <w:bottom w:type="dxa" w:w="80"/>
              <w:right w:type="dxa" w:w="100"/>
            </w:tcMar>
            <w:vAlign w:val="center"/>
          </w:tcPr>
          <w:p>
            <w:pPr>
              <w:jc w:val="left"/>
            </w:pPr>
            <w:r>
              <w:rPr>
                <w:b/>
                <w:bCs/>
                <w:color w:val="FFFFFF"/>
              </w:rPr>
              <w:t xml:space="preserve">Frecuencia de Rotación</w:t>
            </w:r>
          </w:p>
        </w:tc>
        <w:tc>
          <w:tcPr>
            <w:tcW w:type="dxa" w:w="3250"/>
            <w:shd w:fill="1F3864" w:val="clear"/>
            <w:tcMar>
              <w:top w:type="dxa" w:w="80"/>
              <w:left w:type="dxa" w:w="100"/>
              <w:bottom w:type="dxa" w:w="80"/>
              <w:right w:type="dxa" w:w="100"/>
            </w:tcMar>
            <w:vAlign w:val="center"/>
          </w:tcPr>
          <w:p>
            <w:pPr>
              <w:jc w:val="left"/>
            </w:pPr>
            <w:r>
              <w:rPr>
                <w:b/>
                <w:bCs/>
                <w:color w:val="FFFFFF"/>
              </w:rPr>
              <w:t xml:space="preserve">Mecanismo</w:t>
            </w:r>
          </w:p>
        </w:tc>
      </w:tr>
      <w:tr>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Tokens de API de cuentas de servicio</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90 días o inmediato ante sospecha de exposición.</w:t>
            </w:r>
          </w:p>
        </w:tc>
        <w:tc>
          <w:tcPr>
            <w:tcW w:type="dxa" w:w="3250"/>
            <w:shd w:fill="FFFFFF" w:val="clear"/>
            <w:tcMar>
              <w:top w:type="dxa" w:w="80"/>
              <w:left w:type="dxa" w:w="100"/>
              <w:bottom w:type="dxa" w:w="80"/>
              <w:right w:type="dxa" w:w="100"/>
            </w:tcMar>
            <w:vAlign w:val="center"/>
          </w:tcPr>
          <w:p>
            <w:pPr>
              <w:jc w:val="left"/>
            </w:pPr>
            <w:r>
              <w:rPr>
                <w:b w:val="false"/>
                <w:bCs w:val="false"/>
                <w:color w:val="000000"/>
              </w:rPr>
              <w:t xml:space="preserve">Rotación automatizada mediante Vault con notificación a la aplicación consumidora.</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Llaves de acceso a proveedor cloud (access keys)</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90 días; prohibido su uso donde exista alternativa de identidad federada (roles IAM/Managed Identity).</w:t>
            </w:r>
          </w:p>
        </w:tc>
        <w:tc>
          <w:tcPr>
            <w:tcW w:type="dxa" w:w="3250"/>
            <w:shd w:fill="F2F2F2" w:val="clear"/>
            <w:tcMar>
              <w:top w:type="dxa" w:w="80"/>
              <w:left w:type="dxa" w:w="100"/>
              <w:bottom w:type="dxa" w:w="80"/>
              <w:right w:type="dxa" w:w="100"/>
            </w:tcMar>
            <w:vAlign w:val="center"/>
          </w:tcPr>
          <w:p>
            <w:pPr>
              <w:jc w:val="left"/>
            </w:pPr>
            <w:r>
              <w:rPr>
                <w:b w:val="false"/>
                <w:bCs w:val="false"/>
                <w:color w:val="000000"/>
              </w:rPr>
              <w:t xml:space="preserve">Rotación automatizada; llaves estáticas de larga duración requieren excepción aprobada.</w:t>
            </w:r>
          </w:p>
        </w:tc>
      </w:tr>
      <w:tr>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Certificados TLS internos</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12 meses, o según vigencia emitida por la autoridad certificadora corporativa.</w:t>
            </w:r>
          </w:p>
        </w:tc>
        <w:tc>
          <w:tcPr>
            <w:tcW w:type="dxa" w:w="3250"/>
            <w:shd w:fill="FFFFFF" w:val="clear"/>
            <w:tcMar>
              <w:top w:type="dxa" w:w="80"/>
              <w:left w:type="dxa" w:w="100"/>
              <w:bottom w:type="dxa" w:w="80"/>
              <w:right w:type="dxa" w:w="100"/>
            </w:tcMar>
            <w:vAlign w:val="center"/>
          </w:tcPr>
          <w:p>
            <w:pPr>
              <w:jc w:val="left"/>
            </w:pPr>
            <w:r>
              <w:rPr>
                <w:b w:val="false"/>
                <w:bCs w:val="false"/>
                <w:color w:val="000000"/>
              </w:rPr>
              <w:t xml:space="preserve">Renovación automatizada vía cert-manager o equivalente.</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Contraseñas de cuentas humanas privilegiadas</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No aplica contraseña estática; acceso mediante SSO + MFA (sección 3.2) y PAM (capítulo 6).</w:t>
            </w:r>
          </w:p>
        </w:tc>
        <w:tc>
          <w:tcPr>
            <w:tcW w:type="dxa" w:w="3250"/>
            <w:shd w:fill="F2F2F2" w:val="clear"/>
            <w:tcMar>
              <w:top w:type="dxa" w:w="80"/>
              <w:left w:type="dxa" w:w="100"/>
              <w:bottom w:type="dxa" w:w="80"/>
              <w:right w:type="dxa" w:w="100"/>
            </w:tcMar>
            <w:vAlign w:val="center"/>
          </w:tcPr>
          <w:p>
            <w:pPr>
              <w:jc w:val="left"/>
            </w:pPr>
            <w:r>
              <w:rPr>
                <w:b w:val="false"/>
                <w:bCs w:val="false"/>
                <w:color w:val="000000"/>
              </w:rPr>
              <w:t xml:space="preserve">Autenticación federada, sin contraseña local almacenada.</w:t>
            </w:r>
          </w:p>
        </w:tc>
      </w:tr>
    </w:tbl>
    <w:p>
      <w:pPr>
        <w:pStyle w:val="Heading1"/>
        <w:pageBreakBefore/>
        <w:spacing w:after="240" w:before="480"/>
      </w:pPr>
      <w:r>
        <w:rPr>
          <w:b/>
          <w:bCs/>
        </w:rPr>
        <w:t xml:space="preserve">6. Gestión de Accesos Privilegiados (PAM) y Accesos JIT (Just-In-Time)</w:t>
      </w:r>
    </w:p>
    <w:p>
      <w:pPr>
        <w:spacing w:after="200" w:line="276"/>
      </w:pPr>
      <w:r>
        <w:t xml:space="preserve">El acceso administrativo permanente (standing access) se elimina como configuración por defecto. Los accesos privilegiados se otorgan de forma temporal y bajo demanda (Just-In-Time) a través de la plataforma de Privileged Access Management (PAM), con aprobación y expiración automática.</w:t>
      </w:r>
    </w:p>
    <w:p>
      <w:pPr>
        <w:pStyle w:val="ListParagraph"/>
        <w:numPr>
          <w:ilvl w:val="0"/>
          <w:numId w:val="2"/>
        </w:numPr>
        <w:spacing w:after="120"/>
      </w:pPr>
      <w:r>
        <w:t xml:space="preserve">Ningún ingeniero, incluido el personal de Plataforma y SRE, mantiene credenciales administrativas activas de forma permanente sobre sistemas productivos.</w:t>
      </w:r>
    </w:p>
    <w:p>
      <w:pPr>
        <w:pStyle w:val="ListParagraph"/>
        <w:numPr>
          <w:ilvl w:val="0"/>
          <w:numId w:val="2"/>
        </w:numPr>
        <w:spacing w:after="120"/>
      </w:pPr>
      <w:r>
        <w:t xml:space="preserve">Toda elevación JIT se solicita indicando el sistema, la duración y la justificación de negocio, y queda sujeta a aprobación conforme a la matriz RBAC de la sección 4.1.</w:t>
      </w:r>
    </w:p>
    <w:p>
      <w:pPr>
        <w:pStyle w:val="ListParagraph"/>
        <w:numPr>
          <w:ilvl w:val="0"/>
          <w:numId w:val="2"/>
        </w:numPr>
        <w:spacing w:after="120"/>
      </w:pPr>
      <w:r>
        <w:t xml:space="preserve">El acceso JIT expira automáticamente al finalizar la ventana solicitada, sin requerir una acción manual de revocación.</w:t>
      </w:r>
    </w:p>
    <w:p>
      <w:pPr>
        <w:pStyle w:val="Heading2"/>
        <w:spacing w:after="180" w:before="360"/>
      </w:pPr>
      <w:r>
        <w:rPr>
          <w:b/>
          <w:bCs/>
        </w:rPr>
        <w:t xml:space="preserve">6.1. Protocolos de Elevación de Privilegios para Emergencias (Break-Glass)</w:t>
      </w:r>
    </w:p>
    <w:p>
      <w:pPr>
        <w:spacing w:after="200" w:line="276"/>
      </w:pPr>
      <w:r>
        <w:t xml:space="preserve">Para situaciones donde el flujo estándar de aprobación JIT no puede cumplirse por la urgencia del incidente (ver categorización P1/P2 en OPS-001, sección 4.1), se habilita un protocolo de elevación de emergencia (break-glass):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rPr>
              <w:t xml:space="preserve">Etapa</w:t>
            </w:r>
          </w:p>
        </w:tc>
        <w:tc>
          <w:tcPr>
            <w:tcW w:type="dxa" w:w="7150"/>
            <w:shd w:fill="1F3864" w:val="clear"/>
            <w:tcMar>
              <w:top w:type="dxa" w:w="80"/>
              <w:left w:type="dxa" w:w="100"/>
              <w:bottom w:type="dxa" w:w="80"/>
              <w:right w:type="dxa" w:w="100"/>
            </w:tcMar>
            <w:vAlign w:val="center"/>
          </w:tcPr>
          <w:p>
            <w:pPr>
              <w:jc w:val="left"/>
            </w:pPr>
            <w:r>
              <w:rPr>
                <w:b/>
                <w:bCs/>
                <w:color w:val="FFFFFF"/>
              </w:rPr>
              <w:t xml:space="preserve">Descripción</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Activación</w:t>
            </w:r>
          </w:p>
        </w:tc>
        <w:tc>
          <w:tcPr>
            <w:tcW w:type="dxa" w:w="7150"/>
            <w:shd w:fill="FFFFFF" w:val="clear"/>
            <w:tcMar>
              <w:top w:type="dxa" w:w="80"/>
              <w:left w:type="dxa" w:w="100"/>
              <w:bottom w:type="dxa" w:w="80"/>
              <w:right w:type="dxa" w:w="100"/>
            </w:tcMar>
            <w:vAlign w:val="center"/>
          </w:tcPr>
          <w:p>
            <w:pPr>
              <w:jc w:val="left"/>
            </w:pPr>
            <w:r>
              <w:rPr>
                <w:b w:val="false"/>
                <w:bCs w:val="false"/>
                <w:color w:val="000000"/>
              </w:rPr>
              <w:t xml:space="preserve">El solicitante declara una emergencia (incidente P1/P2 según OPS-001) y solicita elevación temporal mediante el sistema de PAM, indicando el motivo.</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Aprobación</w:t>
            </w:r>
          </w:p>
        </w:tc>
        <w:tc>
          <w:tcPr>
            <w:tcW w:type="dxa" w:w="7150"/>
            <w:shd w:fill="F2F2F2" w:val="clear"/>
            <w:tcMar>
              <w:top w:type="dxa" w:w="80"/>
              <w:left w:type="dxa" w:w="100"/>
              <w:bottom w:type="dxa" w:w="80"/>
              <w:right w:type="dxa" w:w="100"/>
            </w:tcMar>
            <w:vAlign w:val="center"/>
          </w:tcPr>
          <w:p>
            <w:pPr>
              <w:jc w:val="left"/>
            </w:pPr>
            <w:r>
              <w:rPr>
                <w:b w:val="false"/>
                <w:bCs w:val="false"/>
                <w:color w:val="000000"/>
              </w:rPr>
              <w:t xml:space="preserve">Requiere aprobación de un segundo responsable (Tech Lead, SRE de guardia o CISO según el sistema afectado); en indisponibilidad del aprobador, se permite auto-elevación con registro reforzado y revisión posterior obligatoria.</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Duración</w:t>
            </w:r>
          </w:p>
        </w:tc>
        <w:tc>
          <w:tcPr>
            <w:tcW w:type="dxa" w:w="7150"/>
            <w:shd w:fill="FFFFFF" w:val="clear"/>
            <w:tcMar>
              <w:top w:type="dxa" w:w="80"/>
              <w:left w:type="dxa" w:w="100"/>
              <w:bottom w:type="dxa" w:w="80"/>
              <w:right w:type="dxa" w:w="100"/>
            </w:tcMar>
            <w:vAlign w:val="center"/>
          </w:tcPr>
          <w:p>
            <w:pPr>
              <w:jc w:val="left"/>
            </w:pPr>
            <w:r>
              <w:rPr>
                <w:b w:val="false"/>
                <w:bCs w:val="false"/>
                <w:color w:val="000000"/>
              </w:rPr>
              <w:t xml:space="preserve">El acceso elevado se otorga por un máximo de 4 horas y expira automáticamente; una extensión requiere una nueva solicitud justificada.</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Registro</w:t>
            </w:r>
          </w:p>
        </w:tc>
        <w:tc>
          <w:tcPr>
            <w:tcW w:type="dxa" w:w="7150"/>
            <w:shd w:fill="F2F2F2" w:val="clear"/>
            <w:tcMar>
              <w:top w:type="dxa" w:w="80"/>
              <w:left w:type="dxa" w:w="100"/>
              <w:bottom w:type="dxa" w:w="80"/>
              <w:right w:type="dxa" w:w="100"/>
            </w:tcMar>
            <w:vAlign w:val="center"/>
          </w:tcPr>
          <w:p>
            <w:pPr>
              <w:jc w:val="left"/>
            </w:pPr>
            <w:r>
              <w:rPr>
                <w:b w:val="false"/>
                <w:bCs w:val="false"/>
                <w:color w:val="000000"/>
              </w:rPr>
              <w:t xml:space="preserve">Toda acción ejecutada bajo acceso break-glass se graba (sesión y comandos) y queda vinculada al incidente que la originó.</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Revisión posterior</w:t>
            </w:r>
          </w:p>
        </w:tc>
        <w:tc>
          <w:tcPr>
            <w:tcW w:type="dxa" w:w="7150"/>
            <w:shd w:fill="FFFFFF" w:val="clear"/>
            <w:tcMar>
              <w:top w:type="dxa" w:w="80"/>
              <w:left w:type="dxa" w:w="100"/>
              <w:bottom w:type="dxa" w:w="80"/>
              <w:right w:type="dxa" w:w="100"/>
            </w:tcMar>
            <w:vAlign w:val="center"/>
          </w:tcPr>
          <w:p>
            <w:pPr>
              <w:jc w:val="left"/>
            </w:pPr>
            <w:r>
              <w:rPr>
                <w:b w:val="false"/>
                <w:bCs w:val="false"/>
                <w:color w:val="000000"/>
              </w:rPr>
              <w:t xml:space="preserve">Toda activación de break-glass se revisa obligatoriamente en las 48 horas siguientes por Seguridad, independientemente del resultado del incidente, y se referencia en el post-mortem correspondiente (OPS-001, sección 4.3).</w:t>
            </w:r>
          </w:p>
        </w:tc>
      </w:tr>
    </w:tbl>
    <w:p>
      <w:pPr>
        <w:pStyle w:val="Heading1"/>
        <w:pageBreakBefore/>
        <w:spacing w:after="240" w:before="480"/>
      </w:pPr>
      <w:r>
        <w:rPr>
          <w:b/>
          <w:bCs/>
        </w:rPr>
        <w:t xml:space="preserve">7. Auditoría de Accesos y Monitoreo de Sesiones</w:t>
      </w:r>
    </w:p>
    <w:p>
      <w:pPr>
        <w:spacing w:after="200" w:line="276"/>
      </w:pPr>
      <w:r>
        <w:t xml:space="preserve">Todo acceso otorgado bajo este modelo es auditable y se revisa de forma periódica y sistemática, no solo de forma reactiva ante un incidente. Las sesiones privilegiadas (capítulo 6) se graban de forma íntegra.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50"/>
        <w:gridCol w:w="3100"/>
      </w:tblGrid>
      <w:tr>
        <w:trPr>
          <w:tblHeader/>
        </w:trPr>
        <w:tc>
          <w:tcPr>
            <w:tcW w:type="dxa" w:w="3600"/>
            <w:shd w:fill="1F3864" w:val="clear"/>
            <w:tcMar>
              <w:top w:type="dxa" w:w="80"/>
              <w:left w:type="dxa" w:w="100"/>
              <w:bottom w:type="dxa" w:w="80"/>
              <w:right w:type="dxa" w:w="100"/>
            </w:tcMar>
            <w:vAlign w:val="center"/>
          </w:tcPr>
          <w:p>
            <w:pPr>
              <w:jc w:val="left"/>
            </w:pPr>
            <w:r>
              <w:rPr>
                <w:b/>
                <w:bCs/>
                <w:color w:val="FFFFFF"/>
              </w:rPr>
              <w:t xml:space="preserve">Actividad de Auditoría</w:t>
            </w:r>
          </w:p>
        </w:tc>
        <w:tc>
          <w:tcPr>
            <w:tcW w:type="dxa" w:w="2650"/>
            <w:shd w:fill="1F3864" w:val="clear"/>
            <w:tcMar>
              <w:top w:type="dxa" w:w="80"/>
              <w:left w:type="dxa" w:w="100"/>
              <w:bottom w:type="dxa" w:w="80"/>
              <w:right w:type="dxa" w:w="100"/>
            </w:tcMar>
            <w:vAlign w:val="center"/>
          </w:tcPr>
          <w:p>
            <w:pPr>
              <w:jc w:val="left"/>
            </w:pPr>
            <w:r>
              <w:rPr>
                <w:b/>
                <w:bCs/>
                <w:color w:val="FFFFFF"/>
              </w:rPr>
              <w:t xml:space="preserve">Frecuencia</w:t>
            </w:r>
          </w:p>
        </w:tc>
        <w:tc>
          <w:tcPr>
            <w:tcW w:type="dxa" w:w="3100"/>
            <w:shd w:fill="1F3864" w:val="clear"/>
            <w:tcMar>
              <w:top w:type="dxa" w:w="80"/>
              <w:left w:type="dxa" w:w="100"/>
              <w:bottom w:type="dxa" w:w="80"/>
              <w:right w:type="dxa" w:w="100"/>
            </w:tcMar>
            <w:vAlign w:val="center"/>
          </w:tcPr>
          <w:p>
            <w:pPr>
              <w:jc w:val="left"/>
            </w:pPr>
            <w:r>
              <w:rPr>
                <w:b/>
                <w:bCs/>
                <w:color w:val="FFFFFF"/>
              </w:rPr>
              <w:t xml:space="preserve">Responsable</w:t>
            </w:r>
          </w:p>
        </w:tc>
      </w:tr>
      <w:tr>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Revisión de accesos activos por sistema crítico</w:t>
            </w:r>
          </w:p>
        </w:tc>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Trimestral</w:t>
            </w:r>
          </w:p>
        </w:tc>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Propietario del sistema, validado por Seguridad.</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Revisión de cuentas de servicio sin actividad</w:t>
            </w:r>
          </w:p>
        </w:tc>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Mensual</w:t>
            </w:r>
          </w:p>
        </w:tc>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Administrador de Plataforma.</w:t>
            </w:r>
          </w:p>
        </w:tc>
      </w:tr>
      <w:tr>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Revisión de permisos administrativos (Owner/Admin)</w:t>
            </w:r>
          </w:p>
        </w:tc>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Trimestral</w:t>
            </w:r>
          </w:p>
        </w:tc>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CISO</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Auditoría de sesiones privilegiadas grabadas (PAM)</w:t>
            </w:r>
          </w:p>
        </w:tc>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Continua, con muestreo dirigido mensual</w:t>
            </w:r>
          </w:p>
        </w:tc>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Equipo de Seguridad</w:t>
            </w:r>
          </w:p>
        </w:tc>
      </w:tr>
      <w:tr>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Revisión de accesos de personal desvinculado (offboarding)</w:t>
            </w:r>
          </w:p>
        </w:tc>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Dentro de las 24 horas posteriores a la desvinculación</w:t>
            </w:r>
          </w:p>
        </w:tc>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Recursos Humanos + Administrador de Plataforma</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Certificación anual de accesos por parte de cada líder de equipo</w:t>
            </w:r>
          </w:p>
        </w:tc>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Anual</w:t>
            </w:r>
          </w:p>
        </w:tc>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Líderes de equipo, consolidado por Auditoría Interna</w:t>
            </w:r>
          </w:p>
        </w:tc>
      </w:tr>
    </w:tbl>
    <w:p>
      <w:pPr>
        <w:spacing w:after="200" w:line="276"/>
      </w:pPr>
      <w:r>
        <w:t xml:space="preserve">Los hallazgos de estas auditorías que representen una desviación de este modelo se gestionan como excepción de riesgo conforme al proceso de GOB-001, sección 5.2, y se reportan al Comité de Gobierno DevSecOps.</w:t>
      </w:r>
    </w:p>
    <w:p>
      <w:pPr>
        <w:pStyle w:val="Heading1"/>
        <w:pageBreakBefore/>
        <w:spacing w:after="240" w:before="480"/>
      </w:pPr>
      <w:r>
        <w:rPr>
          <w:b/>
          <w:bCs/>
        </w:rPr>
        <w:t xml:space="preserve">8. Anexos</w:t>
      </w:r>
    </w:p>
    <w:p>
      <w:pPr>
        <w:pStyle w:val="Heading2"/>
        <w:spacing w:after="180" w:before="360"/>
      </w:pPr>
      <w:r>
        <w:rPr>
          <w:b/>
          <w:bCs/>
        </w:rPr>
        <w:t xml:space="preserve">8.1. Tabla de Mapeo de Roles SSO vs. Permisos en Plataformas</w:t>
      </w:r>
    </w:p>
    <w:p>
      <w:pPr>
        <w:spacing w:after="200" w:line="276"/>
      </w:pPr>
      <w:r>
        <w:t xml:space="preserve">La siguiente tabla constituye la fuente de verdad operativa para la asignación automática de permisos: cada grupo del proveedor de identidad corporativo se traduce en un conjunto específico y predecible de permisos en cada plataforma.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450"/>
        <w:gridCol w:w="2400"/>
        <w:gridCol w:w="185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Grupo SSO (IdP)</w:t>
            </w:r>
          </w:p>
        </w:tc>
        <w:tc>
          <w:tcPr>
            <w:tcW w:type="dxa" w:w="2450"/>
            <w:shd w:fill="1F3864" w:val="clear"/>
            <w:tcMar>
              <w:top w:type="dxa" w:w="80"/>
              <w:left w:type="dxa" w:w="100"/>
              <w:bottom w:type="dxa" w:w="80"/>
              <w:right w:type="dxa" w:w="100"/>
            </w:tcMar>
            <w:vAlign w:val="center"/>
          </w:tcPr>
          <w:p>
            <w:pPr>
              <w:jc w:val="left"/>
            </w:pPr>
            <w:r>
              <w:rPr>
                <w:b/>
                <w:bCs/>
                <w:color w:val="FFFFFF"/>
              </w:rPr>
              <w:t xml:space="preserve">Rol GitLab</w:t>
            </w:r>
          </w:p>
        </w:tc>
        <w:tc>
          <w:tcPr>
            <w:tcW w:type="dxa" w:w="2400"/>
            <w:shd w:fill="1F3864" w:val="clear"/>
            <w:tcMar>
              <w:top w:type="dxa" w:w="80"/>
              <w:left w:type="dxa" w:w="100"/>
              <w:bottom w:type="dxa" w:w="80"/>
              <w:right w:type="dxa" w:w="100"/>
            </w:tcMar>
            <w:vAlign w:val="center"/>
          </w:tcPr>
          <w:p>
            <w:pPr>
              <w:jc w:val="left"/>
            </w:pPr>
            <w:r>
              <w:rPr>
                <w:b/>
                <w:bCs/>
                <w:color w:val="FFFFFF"/>
              </w:rPr>
              <w:t xml:space="preserve">Rol Cloud</w:t>
            </w:r>
          </w:p>
        </w:tc>
        <w:tc>
          <w:tcPr>
            <w:tcW w:type="dxa" w:w="1850"/>
            <w:shd w:fill="1F3864" w:val="clear"/>
            <w:tcMar>
              <w:top w:type="dxa" w:w="80"/>
              <w:left w:type="dxa" w:w="100"/>
              <w:bottom w:type="dxa" w:w="80"/>
              <w:right w:type="dxa" w:w="100"/>
            </w:tcMar>
            <w:vAlign w:val="center"/>
          </w:tcPr>
          <w:p>
            <w:pPr>
              <w:jc w:val="left"/>
            </w:pPr>
            <w:r>
              <w:rPr>
                <w:b/>
                <w:bCs/>
                <w:color w:val="FFFFFF"/>
              </w:rPr>
              <w:t xml:space="preserve">Rol Vault</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grp-engineering-dev</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Developer</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ReadOnly (Dev/Test)</w:t>
            </w:r>
          </w:p>
        </w:tc>
        <w:tc>
          <w:tcPr>
            <w:tcW w:type="dxa" w:w="1850"/>
            <w:shd w:fill="FFFFFF" w:val="clear"/>
            <w:tcMar>
              <w:top w:type="dxa" w:w="80"/>
              <w:left w:type="dxa" w:w="100"/>
              <w:bottom w:type="dxa" w:w="80"/>
              <w:right w:type="dxa" w:w="100"/>
            </w:tcMar>
            <w:vAlign w:val="center"/>
          </w:tcPr>
          <w:p>
            <w:pPr>
              <w:jc w:val="left"/>
            </w:pPr>
            <w:r>
              <w:rPr>
                <w:b w:val="false"/>
                <w:bCs w:val="false"/>
                <w:color w:val="000000"/>
              </w:rPr>
              <w:t xml:space="preserve">app-secrets-read (no prod)</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grp-engineering-leads</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Maintainer</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PowerUser (Dev/Test/Preprod), ReadOnly (Prod)</w:t>
            </w:r>
          </w:p>
        </w:tc>
        <w:tc>
          <w:tcPr>
            <w:tcW w:type="dxa" w:w="1850"/>
            <w:shd w:fill="F2F2F2" w:val="clear"/>
            <w:tcMar>
              <w:top w:type="dxa" w:w="80"/>
              <w:left w:type="dxa" w:w="100"/>
              <w:bottom w:type="dxa" w:w="80"/>
              <w:right w:type="dxa" w:w="100"/>
            </w:tcMar>
            <w:vAlign w:val="center"/>
          </w:tcPr>
          <w:p>
            <w:pPr>
              <w:jc w:val="left"/>
            </w:pPr>
            <w:r>
              <w:rPr>
                <w:b w:val="false"/>
                <w:bCs w:val="false"/>
                <w:color w:val="000000"/>
              </w:rPr>
              <w:t xml:space="preserve">app-secrets-read (todos los ambientes no prod)</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grp-sre</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Maintainer (infra) / Reporter (apps)</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Infra-Admin vía IaC</w:t>
            </w:r>
          </w:p>
        </w:tc>
        <w:tc>
          <w:tcPr>
            <w:tcW w:type="dxa" w:w="1850"/>
            <w:shd w:fill="FFFFFF" w:val="clear"/>
            <w:tcMar>
              <w:top w:type="dxa" w:w="80"/>
              <w:left w:type="dxa" w:w="100"/>
              <w:bottom w:type="dxa" w:w="80"/>
              <w:right w:type="dxa" w:w="100"/>
            </w:tcMar>
            <w:vAlign w:val="center"/>
          </w:tcPr>
          <w:p>
            <w:pPr>
              <w:jc w:val="left"/>
            </w:pPr>
            <w:r>
              <w:rPr>
                <w:b w:val="false"/>
                <w:bCs w:val="false"/>
                <w:color w:val="000000"/>
              </w:rPr>
              <w:t xml:space="preserve">infra-secrets-rotate</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grp-security-champions</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Reporter + Security Dashboard</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SecurityAudit-ReadOnly</w:t>
            </w:r>
          </w:p>
        </w:tc>
        <w:tc>
          <w:tcPr>
            <w:tcW w:type="dxa" w:w="1850"/>
            <w:shd w:fill="F2F2F2" w:val="clear"/>
            <w:tcMar>
              <w:top w:type="dxa" w:w="80"/>
              <w:left w:type="dxa" w:w="100"/>
              <w:bottom w:type="dxa" w:w="80"/>
              <w:right w:type="dxa" w:w="100"/>
            </w:tcMar>
            <w:vAlign w:val="center"/>
          </w:tcPr>
          <w:p>
            <w:pPr>
              <w:jc w:val="left"/>
            </w:pPr>
            <w:r>
              <w:rPr>
                <w:b w:val="false"/>
                <w:bCs w:val="false"/>
                <w:color w:val="000000"/>
              </w:rPr>
              <w:t xml:space="preserve">policy-metadata-read</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grp-platform-admins</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Owner</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Administrador (sujeto a PAM/MFA)</w:t>
            </w:r>
          </w:p>
        </w:tc>
        <w:tc>
          <w:tcPr>
            <w:tcW w:type="dxa" w:w="1850"/>
            <w:shd w:fill="FFFFFF" w:val="clear"/>
            <w:tcMar>
              <w:top w:type="dxa" w:w="80"/>
              <w:left w:type="dxa" w:w="100"/>
              <w:bottom w:type="dxa" w:w="80"/>
              <w:right w:type="dxa" w:w="100"/>
            </w:tcMar>
            <w:vAlign w:val="center"/>
          </w:tcPr>
          <w:p>
            <w:pPr>
              <w:jc w:val="left"/>
            </w:pPr>
            <w:r>
              <w:rPr>
                <w:b w:val="false"/>
                <w:bCs w:val="false"/>
                <w:color w:val="000000"/>
              </w:rPr>
              <w:t xml:space="preserve">vault-admin</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grp-auditors</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Reporter (solo lectura, todos los proyectos)</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ReadOnly (logs y configuración)</w:t>
            </w:r>
          </w:p>
        </w:tc>
        <w:tc>
          <w:tcPr>
            <w:tcW w:type="dxa" w:w="1850"/>
            <w:shd w:fill="F2F2F2" w:val="clear"/>
            <w:tcMar>
              <w:top w:type="dxa" w:w="80"/>
              <w:left w:type="dxa" w:w="100"/>
              <w:bottom w:type="dxa" w:w="80"/>
              <w:right w:type="dxa" w:w="100"/>
            </w:tcMar>
            <w:vAlign w:val="center"/>
          </w:tcPr>
          <w:p>
            <w:pPr>
              <w:jc w:val="left"/>
            </w:pPr>
            <w:r>
              <w:rPr>
                <w:b w:val="false"/>
                <w:bCs w:val="false"/>
                <w:color w:val="000000"/>
              </w:rPr>
              <w:t xml:space="preserve">audit-log-read</w:t>
            </w:r>
          </w:p>
        </w:tc>
      </w:tr>
    </w:tbl>
    <w:p>
      <w:pPr>
        <w:spacing w:after="200" w:line="276"/>
      </w:pPr>
      <w:r>
        <w:t xml:space="preserve">Cualquier cambio a esta tabla debe tramitarse como una solicitud de cambio formal ante Seguridad y queda sujeto a las mismas reglas de revisión por pares que un cambio de infraestructura (ver ENG-001, sección 3.3).</w:t>
      </w:r>
    </w:p>
    <w:p>
      <w:pPr>
        <w:pBdr>
          <w:top w:val="single" w:color="BFBFBF" w:sz="4"/>
        </w:pBdr>
        <w:spacing w:before="400"/>
      </w:pPr>
    </w:p>
    <w:p>
      <w:pPr>
        <w:spacing w:before="200"/>
      </w:pPr>
      <w:r>
        <w:rPr>
          <w:i/>
          <w:iCs/>
          <w:color w:val="808080"/>
          <w:sz w:val="18"/>
          <w:szCs w:val="18"/>
        </w:rPr>
        <w:t xml:space="preserve">Fin del documento IAM-001 — Modelo de Identidad y Acceso</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IAM-001 · Modelo de Identidad y Acceso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2026-08-03T22:03:40.215Z</dcterms:created>
  <dcterms:modified xsi:type="dcterms:W3CDTF">2026-08-03T22:03:40.216Z</dcterms:modified>
</cp:coreProperties>
</file>

<file path=docProps/custom.xml><?xml version="1.0" encoding="utf-8"?>
<Properties xmlns="http://schemas.openxmlformats.org/officeDocument/2006/custom-properties" xmlns:vt="http://schemas.openxmlformats.org/officeDocument/2006/docPropsVTypes"/>
</file>