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OPS-001</w:t>
      </w:r>
    </w:p>
    <w:p>
      <w:pPr>
        <w:spacing w:after="120" w:before="240"/>
        <w:jc w:val="center"/>
      </w:pPr>
      <w:r>
        <w:rPr>
          <w:b/>
          <w:bCs/>
          <w:color w:val="1F3864"/>
          <w:sz w:val="56"/>
          <w:szCs w:val="56"/>
        </w:rPr>
        <w:t xml:space="preserve">Modelo Operativo Inicial</w:t>
      </w:r>
    </w:p>
    <w:p>
      <w:pPr>
        <w:spacing w:after="600"/>
        <w:jc w:val="center"/>
      </w:pPr>
      <w:r>
        <w:rPr>
          <w:i/>
          <w:iCs/>
          <w:color w:val="595959"/>
          <w:sz w:val="24"/>
          <w:szCs w:val="24"/>
        </w:rPr>
        <w:t xml:space="preserve">Soporte, gestión de incidentes, operación de infraestructura y acuerdos de nivel de servicio</w:t>
      </w:r>
    </w:p>
    <w:p>
      <w:pPr>
        <w:spacing w:before="1600"/>
        <w:jc w:val="center"/>
      </w:pPr>
      <w:r>
        <w:rPr>
          <w:color w:val="595959"/>
          <w:sz w:val="22"/>
          <w:szCs w:val="22"/>
        </w:rPr>
        <w:t xml:space="preserve">Versión 1.0  ·  Julio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establece el modelo operativo inicial de la organización: cómo se soportan los servicios en producción, cómo se gestionan los incidentes y qué acuerdos de nivel de servicio rigen la operación. Su vigencia, distribución y modificaciones están sujetas al proceso de gestión documental descrito a continuación.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OPS-001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obligatoria para Ops, SRE, Dev, Sec, QA y personal de guardia (on-call).</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Oficina de Confiabilidad (SRE) / VP de Operaciones</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Semestral, o ante un incidente mayor (Sev1) que revele brechas en el modelo operativo.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2027-01-31</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2026-05-04</w:t>
            </w:r>
          </w:p>
        </w:tc>
        <w:tc>
          <w:tcPr>
            <w:tcW w:type="dxa" w:w="2550"/>
            <w:tcMar>
              <w:top w:type="dxa" w:w="80"/>
              <w:left w:type="dxa" w:w="100"/>
              <w:bottom w:type="dxa" w:w="80"/>
              <w:right w:type="dxa" w:w="100"/>
            </w:tcMar>
            <w:vAlign w:val="center"/>
          </w:tcPr>
          <w:p>
            <w:pPr>
              <w:jc w:val="left"/>
            </w:pPr>
            <w:r>
              <w:rPr>
                <w:b w:val="false"/>
                <w:bCs w:val="false"/>
                <w:color w:val="000000"/>
              </w:rPr>
              <w:t xml:space="preserve">Oficina de Confiabilidad (SRE)</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 niveles de soporte, on-call y gestión de incidentes.</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2026-06-15</w:t>
            </w:r>
          </w:p>
        </w:tc>
        <w:tc>
          <w:tcPr>
            <w:tcW w:type="dxa" w:w="2550"/>
            <w:tcMar>
              <w:top w:type="dxa" w:w="80"/>
              <w:left w:type="dxa" w:w="100"/>
              <w:bottom w:type="dxa" w:w="80"/>
              <w:right w:type="dxa" w:w="100"/>
            </w:tcMar>
            <w:vAlign w:val="center"/>
          </w:tcPr>
          <w:p>
            <w:pPr>
              <w:jc w:val="left"/>
            </w:pPr>
            <w:r>
              <w:rPr>
                <w:b w:val="false"/>
                <w:bCs w:val="false"/>
                <w:color w:val="000000"/>
              </w:rPr>
              <w:t xml:space="preserve">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SLA/SLO/SLI, error budgets y plantilla de post-mortem.</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2026-07-31</w:t>
            </w:r>
          </w:p>
        </w:tc>
        <w:tc>
          <w:tcPr>
            <w:tcW w:type="dxa" w:w="2550"/>
            <w:tcMar>
              <w:top w:type="dxa" w:w="80"/>
              <w:left w:type="dxa" w:w="100"/>
              <w:bottom w:type="dxa" w:w="80"/>
              <w:right w:type="dxa" w:w="100"/>
            </w:tcMar>
            <w:vAlign w:val="center"/>
          </w:tcPr>
          <w:p>
            <w:pPr>
              <w:jc w:val="left"/>
            </w:pPr>
            <w:r>
              <w:rPr>
                <w:b w:val="false"/>
                <w:bCs w:val="false"/>
                <w:color w:val="000000"/>
              </w:rPr>
              <w:t xml:space="preserve">Head of Engineering / VP de Operaciones</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operaciones.</w:t>
            </w:r>
          </w:p>
        </w:tc>
      </w:tr>
    </w:tbl>
    <w:p>
      <w:pPr>
        <w:pStyle w:val="Heading1"/>
        <w:pageBreakBefore/>
        <w:spacing w:after="240" w:before="480"/>
      </w:pPr>
      <w:r>
        <w:rPr>
          <w:b/>
          <w:bCs/>
        </w:rPr>
        <w:t xml:space="preserve">2. Propósito y Filosofía Operativa (SRE &amp; DevSecOps)</w:t>
      </w:r>
    </w:p>
    <w:p>
      <w:pPr>
        <w:spacing w:after="200" w:line="276"/>
      </w:pPr>
      <w:r>
        <w:t xml:space="preserve">Este documento establece cómo la organización opera, soporta y mantiene confiable el software en producción, una vez que este ha superado los gates de calidad y seguridad definidos en GOB-001. Su filosofía operativa combina los principios de Site Reliability Engineering (SRE) con el modelo de gobierno DevSecOps ya establecido.</w:t>
      </w:r>
    </w:p>
    <w:p>
      <w:pPr>
        <w:pStyle w:val="ListParagraph"/>
        <w:numPr>
          <w:ilvl w:val="0"/>
          <w:numId w:val="2"/>
        </w:numPr>
        <w:spacing w:after="120"/>
      </w:pPr>
      <w:r>
        <w:rPr>
          <w:b/>
          <w:bCs/>
        </w:rPr>
        <w:t xml:space="preserve">Confiabilidad como característica: </w:t>
      </w:r>
      <w:r>
        <w:t xml:space="preserve">La confiabilidad se trata como una característica del producto, medida objetivamente mediante SLI y SLO (capítulo 6), no como una percepción subjetiva.</w:t>
      </w:r>
    </w:p>
    <w:p>
      <w:pPr>
        <w:pStyle w:val="ListParagraph"/>
        <w:numPr>
          <w:ilvl w:val="0"/>
          <w:numId w:val="2"/>
        </w:numPr>
        <w:spacing w:after="120"/>
      </w:pPr>
      <w:r>
        <w:rPr>
          <w:b/>
          <w:bCs/>
        </w:rPr>
        <w:t xml:space="preserve">Ingeniería y operación compartidas: </w:t>
      </w:r>
      <w:r>
        <w:t xml:space="preserve">El equipo que construye un servicio participa en su operación; el conocimiento operativo no se transfiere completamente a un equipo externo desconectado del desarrollo.</w:t>
      </w:r>
    </w:p>
    <w:p>
      <w:pPr>
        <w:pStyle w:val="ListParagraph"/>
        <w:numPr>
          <w:ilvl w:val="0"/>
          <w:numId w:val="2"/>
        </w:numPr>
        <w:spacing w:after="120"/>
      </w:pPr>
      <w:r>
        <w:rPr>
          <w:b/>
          <w:bCs/>
        </w:rPr>
        <w:t xml:space="preserve">Cultura blameless: </w:t>
      </w:r>
      <w:r>
        <w:t xml:space="preserve">Los incidentes se analizan sin atribuir culpa individual, entendiendo las fallas como propiedades del sistema y del proceso, no de las personas (sección 4.3).</w:t>
      </w:r>
    </w:p>
    <w:p>
      <w:pPr>
        <w:pStyle w:val="ListParagraph"/>
        <w:numPr>
          <w:ilvl w:val="0"/>
          <w:numId w:val="2"/>
        </w:numPr>
        <w:spacing w:after="120"/>
      </w:pPr>
      <w:r>
        <w:rPr>
          <w:b/>
          <w:bCs/>
        </w:rPr>
        <w:t xml:space="preserve">Automatización sobre esfuerzo manual: </w:t>
      </w:r>
      <w:r>
        <w:t xml:space="preserve">El trabajo operativo repetitivo (toil) se automatiza de forma sistemática, liberando capacidad de ingeniería hacia mejoras estructurales de confiabilidad.</w:t>
      </w:r>
    </w:p>
    <w:p>
      <w:pPr>
        <w:pStyle w:val="ListParagraph"/>
        <w:numPr>
          <w:ilvl w:val="0"/>
          <w:numId w:val="2"/>
        </w:numPr>
        <w:spacing w:after="120"/>
      </w:pPr>
      <w:r>
        <w:rPr>
          <w:b/>
          <w:bCs/>
        </w:rPr>
        <w:t xml:space="preserve">Balance entre velocidad y estabilidad: </w:t>
      </w:r>
      <w:r>
        <w:t xml:space="preserve">Un error budget saludable habilita mayor velocidad de entrega; un error budget agotado prioriza estabilidad sobre nuevas funcionalidades (sección 6.1).</w:t>
      </w:r>
    </w:p>
    <w:p>
      <w:pPr>
        <w:pStyle w:val="Heading1"/>
        <w:pageBreakBefore/>
        <w:spacing w:after="240" w:before="480"/>
      </w:pPr>
      <w:r>
        <w:rPr>
          <w:b/>
          <w:bCs/>
        </w:rPr>
        <w:t xml:space="preserve">3. Esquema de Soporte y Operación</w:t>
      </w:r>
    </w:p>
    <w:p>
      <w:pPr>
        <w:spacing w:after="200" w:line="276"/>
      </w:pPr>
      <w:r>
        <w:t xml:space="preserve">Este capítulo define los niveles de soporte que atienden un incidente según su naturaleza, y el modelo de turnos que garantiza cobertura operativa continua.</w:t>
      </w:r>
    </w:p>
    <w:p>
      <w:pPr>
        <w:pStyle w:val="Heading2"/>
        <w:spacing w:after="180" w:before="360"/>
      </w:pPr>
      <w:r>
        <w:rPr>
          <w:b/>
          <w:bCs/>
        </w:rPr>
        <w:t xml:space="preserve">3.1. Definición de Niveles de Soporte (L1, L2, L3)</w:t>
      </w:r>
    </w:p>
    <w:p>
      <w:pPr>
        <w:spacing w:after="200" w:line="276"/>
      </w:pPr>
      <w:r>
        <w:t xml:space="preserve">Todo incidente ingresa por el nivel de soporte correspondiente a su naturaleza y escala al siguiente nivel cuando excede su capacidad de resolución, sin necesidad de reiniciar el proceso de triage.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3400"/>
        <w:gridCol w:w="16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rPr>
              <w:t xml:space="preserve">Nivel</w:t>
            </w:r>
          </w:p>
        </w:tc>
        <w:tc>
          <w:tcPr>
            <w:tcW w:type="dxa" w:w="2350"/>
            <w:shd w:fill="1F3864" w:val="clear"/>
            <w:tcMar>
              <w:top w:type="dxa" w:w="80"/>
              <w:left w:type="dxa" w:w="100"/>
              <w:bottom w:type="dxa" w:w="80"/>
              <w:right w:type="dxa" w:w="100"/>
            </w:tcMar>
            <w:vAlign w:val="center"/>
          </w:tcPr>
          <w:p>
            <w:pPr>
              <w:jc w:val="left"/>
            </w:pPr>
            <w:r>
              <w:rPr>
                <w:b/>
                <w:bCs/>
                <w:color w:val="FFFFFF"/>
              </w:rPr>
              <w:t xml:space="preserve">Responsable</w:t>
            </w:r>
          </w:p>
        </w:tc>
        <w:tc>
          <w:tcPr>
            <w:tcW w:type="dxa" w:w="3400"/>
            <w:shd w:fill="1F3864" w:val="clear"/>
            <w:tcMar>
              <w:top w:type="dxa" w:w="80"/>
              <w:left w:type="dxa" w:w="100"/>
              <w:bottom w:type="dxa" w:w="80"/>
              <w:right w:type="dxa" w:w="100"/>
            </w:tcMar>
            <w:vAlign w:val="center"/>
          </w:tcPr>
          <w:p>
            <w:pPr>
              <w:jc w:val="left"/>
            </w:pPr>
            <w:r>
              <w:rPr>
                <w:b/>
                <w:bCs/>
                <w:color w:val="FFFFFF"/>
              </w:rPr>
              <w:t xml:space="preserve">Alcance</w:t>
            </w:r>
          </w:p>
        </w:tc>
        <w:tc>
          <w:tcPr>
            <w:tcW w:type="dxa" w:w="1600"/>
            <w:shd w:fill="1F3864" w:val="clear"/>
            <w:tcMar>
              <w:top w:type="dxa" w:w="80"/>
              <w:left w:type="dxa" w:w="100"/>
              <w:bottom w:type="dxa" w:w="80"/>
              <w:right w:type="dxa" w:w="100"/>
            </w:tcMar>
            <w:vAlign w:val="center"/>
          </w:tcPr>
          <w:p>
            <w:pPr>
              <w:jc w:val="left"/>
            </w:pPr>
            <w:r>
              <w:rPr>
                <w:b/>
                <w:bCs/>
                <w:color w:val="FFFFFF"/>
              </w:rPr>
              <w:t xml:space="preserve">Tiempo de Respuesta Objetivo</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L1 — Soporte de Primera Línea</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Mesa de Ayuda / Centro de Operaciones (NOC)</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Triage inicial, incidentes conocidos con solución documentada, restablecimiento de contraseñas y accesos básicos.</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 15 minutos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rPr>
              <w:t xml:space="preserve">L2 — Soporte Especializado</w:t>
            </w:r>
          </w:p>
        </w:tc>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Equipo de Operaciones / SRE de guardia</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Diagnóstico técnico, incidentes de infraestructura o aplicación sin causa raíz conocida, ejecución de runbooks.</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 30 minutos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L3 — Ingeniería de Producto</w:t>
            </w:r>
          </w:p>
        </w:tc>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Equipo de desarrollo propietario del servicio (squad)</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Defectos de código, incidentes que requieren cambio de software o conocimiento profundo del dominio.</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 1 hora (según severidad, ver 4.1)</w:t>
            </w:r>
          </w:p>
        </w:tc>
      </w:tr>
    </w:tbl>
    <w:p>
      <w:pPr>
        <w:pStyle w:val="Heading2"/>
        <w:spacing w:after="180" w:before="360"/>
      </w:pPr>
      <w:r>
        <w:rPr>
          <w:b/>
          <w:bCs/>
        </w:rPr>
        <w:t xml:space="preserve">3.2. Modelo de Turnos y On-Call para Equipos de Ingeniería</w:t>
      </w:r>
    </w:p>
    <w:p>
      <w:pPr>
        <w:spacing w:after="200" w:line="276"/>
      </w:pPr>
      <w:r>
        <w:t xml:space="preserve">La cobertura operativa fuera de horario laboral se garantiza mediante un esquema de guardia (on-call) rotativo, aplicable a los equipos propietarios de servicios Tier 1 y Tier 2 (ver sección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Elemento</w:t>
            </w:r>
          </w:p>
        </w:tc>
        <w:tc>
          <w:tcPr>
            <w:tcW w:type="dxa" w:w="6700"/>
            <w:shd w:fill="1F3864" w:val="clear"/>
            <w:tcMar>
              <w:top w:type="dxa" w:w="80"/>
              <w:left w:type="dxa" w:w="100"/>
              <w:bottom w:type="dxa" w:w="80"/>
              <w:right w:type="dxa" w:w="100"/>
            </w:tcMar>
            <w:vAlign w:val="center"/>
          </w:tcPr>
          <w:p>
            <w:pPr>
              <w:jc w:val="left"/>
            </w:pPr>
            <w:r>
              <w:rPr>
                <w:b/>
                <w:bCs/>
                <w:color w:val="FFFFFF"/>
              </w:rPr>
              <w:t xml:space="preserve">Definición</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Rotación</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Semanal, con traspaso los martes a las 10:00 hora local, documentado en el canal de guardia.</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Composición del turno</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1 ingeniero primario (L2/L3) y 1 ingeniero de respaldo (secondary) por dominio de servicio.</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Compensación</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Conforme a la política de compensación por disponibilidad vigente en Recursos Humanos.</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Herramienta de alertamiento</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PagerDuty / Opsgenie, integrado con el sistema de monitoreo (ver ARC-001, sección 4.3).</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Máximo de turnos consecutivos</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2 semanas consecutivas por ingeniero, salvo voluntariado explícito.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Derecho a desconexión</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Ningún ingeniero de guardia puede ser contactado fuera de un incidente activo o mantenimiento programado.</w:t>
            </w:r>
          </w:p>
        </w:tc>
      </w:tr>
    </w:tbl>
    <w:p>
      <w:pPr>
        <w:pStyle w:val="Heading1"/>
        <w:pageBreakBefore/>
        <w:spacing w:after="240" w:before="480"/>
      </w:pPr>
      <w:r>
        <w:rPr>
          <w:b/>
          <w:bCs/>
        </w:rPr>
        <w:t xml:space="preserve">4. Gestión de Incidentes</w:t>
      </w:r>
    </w:p>
    <w:p>
      <w:pPr>
        <w:spacing w:after="200" w:line="276"/>
      </w:pPr>
      <w:r>
        <w:t xml:space="preserve">Este capítulo define cómo se clasifica la severidad de un incidente, cómo se comunica mientras está activo, y cómo se analiza una vez resuelto para prevenir su recurrencia.</w:t>
      </w:r>
    </w:p>
    <w:p>
      <w:pPr>
        <w:pStyle w:val="Heading2"/>
        <w:spacing w:after="180" w:before="360"/>
      </w:pPr>
      <w:r>
        <w:rPr>
          <w:b/>
          <w:bCs/>
        </w:rPr>
        <w:t xml:space="preserve">4.1. Categorización de Incidentes por Impacto y Urgencia</w:t>
      </w:r>
    </w:p>
    <w:p>
      <w:pPr>
        <w:spacing w:after="200" w:line="276"/>
      </w:pPr>
      <w:r>
        <w:t xml:space="preserve">Todo incidente se clasifica en una de cuatro prioridades, resultado de combinar su impacto (alcance del daño) y su urgencia (velocidad requerida de respuesta), determinando el tiempo de respuesta obligatorio: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450"/>
        <w:gridCol w:w="2000"/>
        <w:gridCol w:w="1650"/>
        <w:gridCol w:w="185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rPr>
              <w:t xml:space="preserve">Prioridad</w:t>
            </w:r>
          </w:p>
        </w:tc>
        <w:tc>
          <w:tcPr>
            <w:tcW w:type="dxa" w:w="2450"/>
            <w:shd w:fill="1F3864" w:val="clear"/>
            <w:tcMar>
              <w:top w:type="dxa" w:w="80"/>
              <w:left w:type="dxa" w:w="100"/>
              <w:bottom w:type="dxa" w:w="80"/>
              <w:right w:type="dxa" w:w="100"/>
            </w:tcMar>
            <w:vAlign w:val="center"/>
          </w:tcPr>
          <w:p>
            <w:pPr>
              <w:jc w:val="left"/>
            </w:pPr>
            <w:r>
              <w:rPr>
                <w:b/>
                <w:bCs/>
                <w:color w:val="FFFFFF"/>
              </w:rPr>
              <w:t xml:space="preserve">Impacto</w:t>
            </w:r>
          </w:p>
        </w:tc>
        <w:tc>
          <w:tcPr>
            <w:tcW w:type="dxa" w:w="2000"/>
            <w:shd w:fill="1F3864" w:val="clear"/>
            <w:tcMar>
              <w:top w:type="dxa" w:w="80"/>
              <w:left w:type="dxa" w:w="100"/>
              <w:bottom w:type="dxa" w:w="80"/>
              <w:right w:type="dxa" w:w="100"/>
            </w:tcMar>
            <w:vAlign w:val="center"/>
          </w:tcPr>
          <w:p>
            <w:pPr>
              <w:jc w:val="left"/>
            </w:pPr>
            <w:r>
              <w:rPr>
                <w:b/>
                <w:bCs/>
                <w:color w:val="FFFFFF"/>
              </w:rPr>
              <w:t xml:space="preserve">Urgencia</w:t>
            </w:r>
          </w:p>
        </w:tc>
        <w:tc>
          <w:tcPr>
            <w:tcW w:type="dxa" w:w="1650"/>
            <w:shd w:fill="1F3864" w:val="clear"/>
            <w:tcMar>
              <w:top w:type="dxa" w:w="80"/>
              <w:left w:type="dxa" w:w="100"/>
              <w:bottom w:type="dxa" w:w="80"/>
              <w:right w:type="dxa" w:w="100"/>
            </w:tcMar>
            <w:vAlign w:val="center"/>
          </w:tcPr>
          <w:p>
            <w:pPr>
              <w:jc w:val="center"/>
            </w:pPr>
            <w:r>
              <w:rPr>
                <w:b/>
                <w:bCs/>
                <w:color w:val="FFFFFF"/>
              </w:rPr>
              <w:t xml:space="preserve">Tiempo de Respuesta</w:t>
            </w:r>
          </w:p>
        </w:tc>
        <w:tc>
          <w:tcPr>
            <w:tcW w:type="dxa" w:w="1850"/>
            <w:shd w:fill="1F3864" w:val="clear"/>
            <w:tcMar>
              <w:top w:type="dxa" w:w="80"/>
              <w:left w:type="dxa" w:w="100"/>
              <w:bottom w:type="dxa" w:w="80"/>
              <w:right w:type="dxa" w:w="100"/>
            </w:tcMar>
            <w:vAlign w:val="center"/>
          </w:tcPr>
          <w:p>
            <w:pPr>
              <w:jc w:val="left"/>
            </w:pPr>
            <w:r>
              <w:rPr>
                <w:b/>
                <w:bCs/>
                <w:color w:val="FFFFFF"/>
              </w:rPr>
              <w:t xml:space="preserve">Ejemplo</w:t>
            </w:r>
          </w:p>
        </w:tc>
      </w:tr>
      <w:tr>
        <w:tc>
          <w:tcPr>
            <w:tcW w:type="dxa" w:w="1400"/>
            <w:shd w:fill="FFC7CE" w:val="clear"/>
            <w:tcMar>
              <w:top w:type="dxa" w:w="80"/>
              <w:left w:type="dxa" w:w="100"/>
              <w:bottom w:type="dxa" w:w="80"/>
              <w:right w:type="dxa" w:w="100"/>
            </w:tcMar>
            <w:vAlign w:val="center"/>
          </w:tcPr>
          <w:p>
            <w:pPr>
              <w:jc w:val="center"/>
            </w:pPr>
            <w:r>
              <w:rPr>
                <w:b/>
                <w:bCs/>
                <w:color w:val="9C0006"/>
              </w:rPr>
              <w:t xml:space="preserve">P1</w:t>
            </w:r>
          </w:p>
        </w:tc>
        <w:tc>
          <w:tcPr>
            <w:tcW w:type="dxa" w:w="2450"/>
            <w:tcMar>
              <w:top w:type="dxa" w:w="80"/>
              <w:left w:type="dxa" w:w="100"/>
              <w:bottom w:type="dxa" w:w="80"/>
              <w:right w:type="dxa" w:w="100"/>
            </w:tcMar>
            <w:vAlign w:val="center"/>
          </w:tcPr>
          <w:p>
            <w:pPr>
              <w:jc w:val="left"/>
            </w:pPr>
            <w:r>
              <w:rPr>
                <w:b w:val="false"/>
                <w:bCs w:val="false"/>
                <w:color w:val="000000"/>
              </w:rPr>
              <w:t xml:space="preserve">Servicio crítico caído o datos comprometidos; afecta a todos los usuarios.</w:t>
            </w:r>
          </w:p>
        </w:tc>
        <w:tc>
          <w:tcPr>
            <w:tcW w:type="dxa" w:w="2000"/>
            <w:tcMar>
              <w:top w:type="dxa" w:w="80"/>
              <w:left w:type="dxa" w:w="100"/>
              <w:bottom w:type="dxa" w:w="80"/>
              <w:right w:type="dxa" w:w="100"/>
            </w:tcMar>
            <w:vAlign w:val="center"/>
          </w:tcPr>
          <w:p>
            <w:pPr>
              <w:jc w:val="left"/>
            </w:pPr>
            <w:r>
              <w:rPr>
                <w:b w:val="false"/>
                <w:bCs w:val="false"/>
                <w:color w:val="000000"/>
              </w:rPr>
              <w:t xml:space="preserve">Inmediata, sin espera posible.</w:t>
            </w:r>
          </w:p>
        </w:tc>
        <w:tc>
          <w:tcPr>
            <w:tcW w:type="dxa" w:w="1650"/>
            <w:tcMar>
              <w:top w:type="dxa" w:w="80"/>
              <w:left w:type="dxa" w:w="100"/>
              <w:bottom w:type="dxa" w:w="80"/>
              <w:right w:type="dxa" w:w="100"/>
            </w:tcMar>
            <w:vAlign w:val="center"/>
          </w:tcPr>
          <w:p>
            <w:pPr>
              <w:jc w:val="center"/>
            </w:pPr>
            <w:r>
              <w:rPr>
                <w:b w:val="false"/>
                <w:bCs w:val="false"/>
                <w:color w:val="000000"/>
              </w:rPr>
              <w:t xml:space="preserve">15 minutos</w:t>
            </w:r>
          </w:p>
        </w:tc>
        <w:tc>
          <w:tcPr>
            <w:tcW w:type="dxa" w:w="1850"/>
            <w:tcMar>
              <w:top w:type="dxa" w:w="80"/>
              <w:left w:type="dxa" w:w="100"/>
              <w:bottom w:type="dxa" w:w="80"/>
              <w:right w:type="dxa" w:w="100"/>
            </w:tcMar>
            <w:vAlign w:val="center"/>
          </w:tcPr>
          <w:p>
            <w:pPr>
              <w:jc w:val="left"/>
            </w:pPr>
            <w:r>
              <w:rPr>
                <w:b w:val="false"/>
                <w:bCs w:val="false"/>
                <w:color w:val="000000"/>
              </w:rPr>
              <w:t xml:space="preserve">Caída total de la plataforma de pagos.</w:t>
            </w:r>
          </w:p>
        </w:tc>
      </w:tr>
      <w:tr>
        <w:tc>
          <w:tcPr>
            <w:tcW w:type="dxa" w:w="1400"/>
            <w:shd w:fill="FCE4E4" w:val="clear"/>
            <w:tcMar>
              <w:top w:type="dxa" w:w="80"/>
              <w:left w:type="dxa" w:w="100"/>
              <w:bottom w:type="dxa" w:w="80"/>
              <w:right w:type="dxa" w:w="100"/>
            </w:tcMar>
            <w:vAlign w:val="center"/>
          </w:tcPr>
          <w:p>
            <w:pPr>
              <w:jc w:val="center"/>
            </w:pPr>
            <w:r>
              <w:rPr>
                <w:b/>
                <w:bCs/>
                <w:color w:val="C00000"/>
              </w:rPr>
              <w:t xml:space="preserve">P2</w:t>
            </w:r>
          </w:p>
        </w:tc>
        <w:tc>
          <w:tcPr>
            <w:tcW w:type="dxa" w:w="2450"/>
            <w:tcMar>
              <w:top w:type="dxa" w:w="80"/>
              <w:left w:type="dxa" w:w="100"/>
              <w:bottom w:type="dxa" w:w="80"/>
              <w:right w:type="dxa" w:w="100"/>
            </w:tcMar>
            <w:vAlign w:val="center"/>
          </w:tcPr>
          <w:p>
            <w:pPr>
              <w:jc w:val="left"/>
            </w:pPr>
            <w:r>
              <w:rPr>
                <w:b w:val="false"/>
                <w:bCs w:val="false"/>
                <w:color w:val="000000"/>
              </w:rPr>
              <w:t xml:space="preserve">Degradación severa de un servicio crítico o caída total de uno no crítico.</w:t>
            </w:r>
          </w:p>
        </w:tc>
        <w:tc>
          <w:tcPr>
            <w:tcW w:type="dxa" w:w="2000"/>
            <w:tcMar>
              <w:top w:type="dxa" w:w="80"/>
              <w:left w:type="dxa" w:w="100"/>
              <w:bottom w:type="dxa" w:w="80"/>
              <w:right w:type="dxa" w:w="100"/>
            </w:tcMar>
            <w:vAlign w:val="center"/>
          </w:tcPr>
          <w:p>
            <w:pPr>
              <w:jc w:val="left"/>
            </w:pPr>
            <w:r>
              <w:rPr>
                <w:b w:val="false"/>
                <w:bCs w:val="false"/>
                <w:color w:val="000000"/>
              </w:rPr>
              <w:t xml:space="preserve">Alta; requiere acción en el turno actual.</w:t>
            </w:r>
          </w:p>
        </w:tc>
        <w:tc>
          <w:tcPr>
            <w:tcW w:type="dxa" w:w="1650"/>
            <w:tcMar>
              <w:top w:type="dxa" w:w="80"/>
              <w:left w:type="dxa" w:w="100"/>
              <w:bottom w:type="dxa" w:w="80"/>
              <w:right w:type="dxa" w:w="100"/>
            </w:tcMar>
            <w:vAlign w:val="center"/>
          </w:tcPr>
          <w:p>
            <w:pPr>
              <w:jc w:val="center"/>
            </w:pPr>
            <w:r>
              <w:rPr>
                <w:b w:val="false"/>
                <w:bCs w:val="false"/>
                <w:color w:val="000000"/>
              </w:rPr>
              <w:t xml:space="preserve">30 minutos</w:t>
            </w:r>
          </w:p>
        </w:tc>
        <w:tc>
          <w:tcPr>
            <w:tcW w:type="dxa" w:w="1850"/>
            <w:tcMar>
              <w:top w:type="dxa" w:w="80"/>
              <w:left w:type="dxa" w:w="100"/>
              <w:bottom w:type="dxa" w:w="80"/>
              <w:right w:type="dxa" w:w="100"/>
            </w:tcMar>
            <w:vAlign w:val="center"/>
          </w:tcPr>
          <w:p>
            <w:pPr>
              <w:jc w:val="left"/>
            </w:pPr>
            <w:r>
              <w:rPr>
                <w:b w:val="false"/>
                <w:bCs w:val="false"/>
                <w:color w:val="000000"/>
              </w:rPr>
              <w:t xml:space="preserve">Latencia extrema en checkout; un módulo secundario caído.</w:t>
            </w:r>
          </w:p>
        </w:tc>
      </w:tr>
      <w:tr>
        <w:tc>
          <w:tcPr>
            <w:tcW w:type="dxa" w:w="1400"/>
            <w:shd w:fill="FFF2CC" w:val="clear"/>
            <w:tcMar>
              <w:top w:type="dxa" w:w="80"/>
              <w:left w:type="dxa" w:w="100"/>
              <w:bottom w:type="dxa" w:w="80"/>
              <w:right w:type="dxa" w:w="100"/>
            </w:tcMar>
            <w:vAlign w:val="center"/>
          </w:tcPr>
          <w:p>
            <w:pPr>
              <w:jc w:val="center"/>
            </w:pPr>
            <w:r>
              <w:rPr>
                <w:b/>
                <w:bCs/>
                <w:color w:val="7F6000"/>
              </w:rPr>
              <w:t xml:space="preserve">P3</w:t>
            </w:r>
          </w:p>
        </w:tc>
        <w:tc>
          <w:tcPr>
            <w:tcW w:type="dxa" w:w="2450"/>
            <w:tcMar>
              <w:top w:type="dxa" w:w="80"/>
              <w:left w:type="dxa" w:w="100"/>
              <w:bottom w:type="dxa" w:w="80"/>
              <w:right w:type="dxa" w:w="100"/>
            </w:tcMar>
            <w:vAlign w:val="center"/>
          </w:tcPr>
          <w:p>
            <w:pPr>
              <w:jc w:val="left"/>
            </w:pPr>
            <w:r>
              <w:rPr>
                <w:b w:val="false"/>
                <w:bCs w:val="false"/>
                <w:color w:val="000000"/>
              </w:rPr>
              <w:t xml:space="preserve">Degradación parcial o intermitente con impacto acotado a un subconjunto de usuarios.</w:t>
            </w:r>
          </w:p>
        </w:tc>
        <w:tc>
          <w:tcPr>
            <w:tcW w:type="dxa" w:w="2000"/>
            <w:tcMar>
              <w:top w:type="dxa" w:w="80"/>
              <w:left w:type="dxa" w:w="100"/>
              <w:bottom w:type="dxa" w:w="80"/>
              <w:right w:type="dxa" w:w="100"/>
            </w:tcMar>
            <w:vAlign w:val="center"/>
          </w:tcPr>
          <w:p>
            <w:pPr>
              <w:jc w:val="left"/>
            </w:pPr>
            <w:r>
              <w:rPr>
                <w:b w:val="false"/>
                <w:bCs w:val="false"/>
                <w:color w:val="000000"/>
              </w:rPr>
              <w:t xml:space="preserve">Media; puede planificarse dentro del día.</w:t>
            </w:r>
          </w:p>
        </w:tc>
        <w:tc>
          <w:tcPr>
            <w:tcW w:type="dxa" w:w="1650"/>
            <w:tcMar>
              <w:top w:type="dxa" w:w="80"/>
              <w:left w:type="dxa" w:w="100"/>
              <w:bottom w:type="dxa" w:w="80"/>
              <w:right w:type="dxa" w:w="100"/>
            </w:tcMar>
            <w:vAlign w:val="center"/>
          </w:tcPr>
          <w:p>
            <w:pPr>
              <w:jc w:val="center"/>
            </w:pPr>
            <w:r>
              <w:rPr>
                <w:b w:val="false"/>
                <w:bCs w:val="false"/>
                <w:color w:val="000000"/>
              </w:rPr>
              <w:t xml:space="preserve">4 horas</w:t>
            </w:r>
          </w:p>
        </w:tc>
        <w:tc>
          <w:tcPr>
            <w:tcW w:type="dxa" w:w="1850"/>
            <w:tcMar>
              <w:top w:type="dxa" w:w="80"/>
              <w:left w:type="dxa" w:w="100"/>
              <w:bottom w:type="dxa" w:w="80"/>
              <w:right w:type="dxa" w:w="100"/>
            </w:tcMar>
            <w:vAlign w:val="center"/>
          </w:tcPr>
          <w:p>
            <w:pPr>
              <w:jc w:val="left"/>
            </w:pPr>
            <w:r>
              <w:rPr>
                <w:b w:val="false"/>
                <w:bCs w:val="false"/>
                <w:color w:val="000000"/>
              </w:rPr>
              <w:t xml:space="preserve">Error intermitente en un reporte no crítico.</w:t>
            </w:r>
          </w:p>
        </w:tc>
      </w:tr>
      <w:tr>
        <w:tc>
          <w:tcPr>
            <w:tcW w:type="dxa" w:w="1400"/>
            <w:shd w:fill="E2EFDA" w:val="clear"/>
            <w:tcMar>
              <w:top w:type="dxa" w:w="80"/>
              <w:left w:type="dxa" w:w="100"/>
              <w:bottom w:type="dxa" w:w="80"/>
              <w:right w:type="dxa" w:w="100"/>
            </w:tcMar>
            <w:vAlign w:val="center"/>
          </w:tcPr>
          <w:p>
            <w:pPr>
              <w:jc w:val="center"/>
            </w:pPr>
            <w:r>
              <w:rPr>
                <w:b/>
                <w:bCs/>
                <w:color w:val="375623"/>
              </w:rPr>
              <w:t xml:space="preserve">P4</w:t>
            </w:r>
          </w:p>
        </w:tc>
        <w:tc>
          <w:tcPr>
            <w:tcW w:type="dxa" w:w="2450"/>
            <w:tcMar>
              <w:top w:type="dxa" w:w="80"/>
              <w:left w:type="dxa" w:w="100"/>
              <w:bottom w:type="dxa" w:w="80"/>
              <w:right w:type="dxa" w:w="100"/>
            </w:tcMar>
            <w:vAlign w:val="center"/>
          </w:tcPr>
          <w:p>
            <w:pPr>
              <w:jc w:val="left"/>
            </w:pPr>
            <w:r>
              <w:rPr>
                <w:b w:val="false"/>
                <w:bCs w:val="false"/>
                <w:color w:val="000000"/>
              </w:rPr>
              <w:t xml:space="preserve">Impacto mínimo o cosmético, sin afectación funcional relevante.</w:t>
            </w:r>
          </w:p>
        </w:tc>
        <w:tc>
          <w:tcPr>
            <w:tcW w:type="dxa" w:w="2000"/>
            <w:tcMar>
              <w:top w:type="dxa" w:w="80"/>
              <w:left w:type="dxa" w:w="100"/>
              <w:bottom w:type="dxa" w:w="80"/>
              <w:right w:type="dxa" w:w="100"/>
            </w:tcMar>
            <w:vAlign w:val="center"/>
          </w:tcPr>
          <w:p>
            <w:pPr>
              <w:jc w:val="left"/>
            </w:pPr>
            <w:r>
              <w:rPr>
                <w:b w:val="false"/>
                <w:bCs w:val="false"/>
                <w:color w:val="000000"/>
              </w:rPr>
              <w:t xml:space="preserve">Baja; se gestiona en el ciclo regular.</w:t>
            </w:r>
          </w:p>
        </w:tc>
        <w:tc>
          <w:tcPr>
            <w:tcW w:type="dxa" w:w="1650"/>
            <w:tcMar>
              <w:top w:type="dxa" w:w="80"/>
              <w:left w:type="dxa" w:w="100"/>
              <w:bottom w:type="dxa" w:w="80"/>
              <w:right w:type="dxa" w:w="100"/>
            </w:tcMar>
            <w:vAlign w:val="center"/>
          </w:tcPr>
          <w:p>
            <w:pPr>
              <w:jc w:val="center"/>
            </w:pPr>
            <w:r>
              <w:rPr>
                <w:b w:val="false"/>
                <w:bCs w:val="false"/>
                <w:color w:val="000000"/>
              </w:rPr>
              <w:t xml:space="preserve">Siguiente día hábil</w:t>
            </w:r>
          </w:p>
        </w:tc>
        <w:tc>
          <w:tcPr>
            <w:tcW w:type="dxa" w:w="1850"/>
            <w:tcMar>
              <w:top w:type="dxa" w:w="80"/>
              <w:left w:type="dxa" w:w="100"/>
              <w:bottom w:type="dxa" w:w="80"/>
              <w:right w:type="dxa" w:w="100"/>
            </w:tcMar>
            <w:vAlign w:val="center"/>
          </w:tcPr>
          <w:p>
            <w:pPr>
              <w:jc w:val="left"/>
            </w:pPr>
            <w:r>
              <w:rPr>
                <w:b w:val="false"/>
                <w:bCs w:val="false"/>
                <w:color w:val="000000"/>
              </w:rPr>
              <w:t xml:space="preserve">Error tipográfico en una notificación.</w:t>
            </w:r>
          </w:p>
        </w:tc>
      </w:tr>
    </w:tbl>
    <w:p>
      <w:pPr>
        <w:pStyle w:val="Heading2"/>
        <w:spacing w:after="180" w:before="360"/>
      </w:pPr>
      <w:r>
        <w:rPr>
          <w:b/>
          <w:bCs/>
        </w:rPr>
        <w:t xml:space="preserve">4.2. Protocolo de Comunicación de Incidentes Críticos</w:t>
      </w:r>
    </w:p>
    <w:p>
      <w:pPr>
        <w:spacing w:after="200" w:line="276"/>
      </w:pPr>
      <w:r>
        <w:t xml:space="preserve">Para incidentes de prioridad P1 y P2, se activa un protocolo de comunicación estructurado que garantiza visibilidad continua para stakeholders técnicos y de negocio: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300"/>
        <w:gridCol w:w="2100"/>
        <w:gridCol w:w="16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Momento</w:t>
            </w:r>
          </w:p>
        </w:tc>
        <w:tc>
          <w:tcPr>
            <w:tcW w:type="dxa" w:w="3300"/>
            <w:shd w:fill="1F3864" w:val="clear"/>
            <w:tcMar>
              <w:top w:type="dxa" w:w="80"/>
              <w:left w:type="dxa" w:w="100"/>
              <w:bottom w:type="dxa" w:w="80"/>
              <w:right w:type="dxa" w:w="100"/>
            </w:tcMar>
            <w:vAlign w:val="center"/>
          </w:tcPr>
          <w:p>
            <w:pPr>
              <w:jc w:val="left"/>
            </w:pPr>
            <w:r>
              <w:rPr>
                <w:b/>
                <w:bCs/>
                <w:color w:val="FFFFFF"/>
              </w:rPr>
              <w:t xml:space="preserve">Acción</w:t>
            </w:r>
          </w:p>
        </w:tc>
        <w:tc>
          <w:tcPr>
            <w:tcW w:type="dxa" w:w="2100"/>
            <w:shd w:fill="1F3864" w:val="clear"/>
            <w:tcMar>
              <w:top w:type="dxa" w:w="80"/>
              <w:left w:type="dxa" w:w="100"/>
              <w:bottom w:type="dxa" w:w="80"/>
              <w:right w:type="dxa" w:w="100"/>
            </w:tcMar>
            <w:vAlign w:val="center"/>
          </w:tcPr>
          <w:p>
            <w:pPr>
              <w:jc w:val="left"/>
            </w:pPr>
            <w:r>
              <w:rPr>
                <w:b/>
                <w:bCs/>
                <w:color w:val="FFFFFF"/>
              </w:rPr>
              <w:t xml:space="preserve">Responsable</w:t>
            </w:r>
          </w:p>
        </w:tc>
        <w:tc>
          <w:tcPr>
            <w:tcW w:type="dxa" w:w="1600"/>
            <w:shd w:fill="1F3864" w:val="clear"/>
            <w:tcMar>
              <w:top w:type="dxa" w:w="80"/>
              <w:left w:type="dxa" w:w="100"/>
              <w:bottom w:type="dxa" w:w="80"/>
              <w:right w:type="dxa" w:w="100"/>
            </w:tcMar>
            <w:vAlign w:val="center"/>
          </w:tcPr>
          <w:p>
            <w:pPr>
              <w:jc w:val="left"/>
            </w:pPr>
            <w:r>
              <w:rPr>
                <w:b/>
                <w:bCs/>
                <w:color w:val="FFFFFF"/>
              </w:rPr>
              <w:t xml:space="preserve">Canal</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T+0 (detección)</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Declaración formal del incidente y apertura de sala de guerra (war room) virtual.</w:t>
            </w:r>
          </w:p>
        </w:tc>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Ingeniero de guardia (Incident Commander interino)</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Canal dedicado de incidentes + videollamada</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T+15 min</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Designación formal de Incident Commander y primer comunicado a stakeholders.</w:t>
            </w:r>
          </w:p>
        </w:tc>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Incident Commander</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Canal de estado corporativo</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Cada 30 min (mientras Sev1/Sev2 esté activo)</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Actualización de estado, aunque no haya novedades sustantivas.</w:t>
            </w:r>
          </w:p>
        </w:tc>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Incident Commander</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Canal de estado corporativo</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Al mitigar</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Comunicado de mitigación (no necesariamente resolución completa).</w:t>
            </w:r>
          </w:p>
        </w:tc>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Incident Commander</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Canal de estado corporativo</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Al resolver</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Comunicado de cierre y convocatoria al post-mortem (sección 4.3).</w:t>
            </w:r>
          </w:p>
        </w:tc>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Incident Commander</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Canal de estado corporativo + calendario</w:t>
            </w:r>
          </w:p>
        </w:tc>
      </w:tr>
    </w:tbl>
    <w:p>
      <w:pPr>
        <w:spacing w:after="200" w:line="276"/>
      </w:pPr>
      <w:r>
        <w:t xml:space="preserve">El Incident Commander es responsable de la coordinación técnica y de la comunicación durante el incidente, pero no necesariamente de ejecutar la remediación técnica, que puede delegar en los especialistas L2/L3 correspondientes.</w:t>
      </w:r>
    </w:p>
    <w:p>
      <w:pPr>
        <w:pStyle w:val="Heading2"/>
        <w:spacing w:after="180" w:before="360"/>
      </w:pPr>
      <w:r>
        <w:rPr>
          <w:b/>
          <w:bCs/>
        </w:rPr>
        <w:t xml:space="preserve">4.3. Proceso de Post-Mortem Blameless (Análisis de Causa Raíz)</w:t>
      </w:r>
    </w:p>
    <w:p>
      <w:pPr>
        <w:spacing w:after="200" w:line="276"/>
      </w:pPr>
      <w:r>
        <w:t xml:space="preserve">Todo incidente P1 y P2, y cualquier P3 recurrente, requiere un post-mortem formal dentro de los 3 días hábiles posteriores a su resolución, siguiendo la plantilla del anexo 7.1.</w:t>
      </w:r>
    </w:p>
    <w:p>
      <w:pPr>
        <w:pStyle w:val="ListParagraph"/>
        <w:numPr>
          <w:ilvl w:val="0"/>
          <w:numId w:val="2"/>
        </w:numPr>
        <w:spacing w:after="120"/>
      </w:pPr>
      <w:r>
        <w:t xml:space="preserve">El post-mortem se centra en identificar causas sistémicas y de proceso, evitando explícitamente la atribución de responsabilidad individual.</w:t>
      </w:r>
    </w:p>
    <w:p>
      <w:pPr>
        <w:pStyle w:val="ListParagraph"/>
        <w:numPr>
          <w:ilvl w:val="0"/>
          <w:numId w:val="2"/>
        </w:numPr>
        <w:spacing w:after="120"/>
      </w:pPr>
      <w:r>
        <w:t xml:space="preserve">Ningún participante debe omitir información por temor a consecuencias personales; esta garantía es responsabilidad de los líderes que faciliten la sesión.</w:t>
      </w:r>
    </w:p>
    <w:p>
      <w:pPr>
        <w:pStyle w:val="ListParagraph"/>
        <w:numPr>
          <w:ilvl w:val="0"/>
          <w:numId w:val="2"/>
        </w:numPr>
        <w:spacing w:after="120"/>
      </w:pPr>
      <w:r>
        <w:t xml:space="preserve">Las acciones de seguimiento identificadas se registran en el backlog del equipo con responsable y fecha compromiso, y se auditan en la siguiente sesión del Comité de Gobierno DevSecOps si corresponden a un servicio Tier 1.</w:t>
      </w:r>
    </w:p>
    <w:p>
      <w:pPr>
        <w:pStyle w:val="ListParagraph"/>
        <w:numPr>
          <w:ilvl w:val="0"/>
          <w:numId w:val="2"/>
        </w:numPr>
        <w:spacing w:after="120"/>
      </w:pPr>
      <w:r>
        <w:t xml:space="preserve">El post-mortem se publica en el repositorio interno de conocimiento, accesible a toda la organización, salvo que contenga información clasificada como Confidencial o Restringido (ver SEC-001, sección 6.1).</w:t>
      </w:r>
    </w:p>
    <w:p>
      <w:pPr>
        <w:pStyle w:val="Heading1"/>
        <w:pageBreakBefore/>
        <w:spacing w:after="240" w:before="480"/>
      </w:pPr>
      <w:r>
        <w:rPr>
          <w:b/>
          <w:bCs/>
        </w:rPr>
        <w:t xml:space="preserve">5. Gestión de la Infraestructura Operativa</w:t>
      </w:r>
    </w:p>
    <w:p>
      <w:pPr>
        <w:spacing w:after="200" w:line="276"/>
      </w:pPr>
      <w:r>
        <w:t xml:space="preserve">Este capítulo establece cómo se aprovisiona, mantiene y actualiza la infraestructura que soporta los servicios en producción, en línea con los principios de Infraestructura como Código definidos en ARC-001.</w:t>
      </w:r>
    </w:p>
    <w:p>
      <w:pPr>
        <w:pStyle w:val="Heading2"/>
        <w:spacing w:after="180" w:before="360"/>
      </w:pPr>
      <w:r>
        <w:rPr>
          <w:b/>
          <w:bCs/>
        </w:rPr>
        <w:t xml:space="preserve">5.1. Aprovisionamiento y Mantenimiento de Tareas</w:t>
      </w:r>
    </w:p>
    <w:p>
      <w:pPr>
        <w:pStyle w:val="ListParagraph"/>
        <w:numPr>
          <w:ilvl w:val="0"/>
          <w:numId w:val="2"/>
        </w:numPr>
        <w:spacing w:after="120"/>
      </w:pPr>
      <w:r>
        <w:t xml:space="preserve">Todo aprovisionamiento de infraestructura sigue el flujo de Infraestructura como Código (Terraform) definido en ARC-001, sección 3.2; no se permite aprovisionamiento manual en ambientes productivos.</w:t>
      </w:r>
    </w:p>
    <w:p>
      <w:pPr>
        <w:pStyle w:val="ListParagraph"/>
        <w:numPr>
          <w:ilvl w:val="0"/>
          <w:numId w:val="2"/>
        </w:numPr>
        <w:spacing w:after="120"/>
      </w:pPr>
      <w:r>
        <w:t xml:space="preserve">Las tareas operativas recurrentes (rotación de credenciales, limpieza de recursos no utilizados, verificación de respaldos) se gestionan mediante trabajos programados (scheduled jobs) auditables, no mediante ejecución manual.</w:t>
      </w:r>
    </w:p>
    <w:p>
      <w:pPr>
        <w:pStyle w:val="ListParagraph"/>
        <w:numPr>
          <w:ilvl w:val="0"/>
          <w:numId w:val="2"/>
        </w:numPr>
        <w:spacing w:after="120"/>
      </w:pPr>
      <w:r>
        <w:t xml:space="preserve">Toda tarea operativa manual repetida más de tres veces se considera candidata obligatoria de automatización y se registra en el backlog de reducción de toil del equipo de SRE.</w:t>
      </w:r>
    </w:p>
    <w:p>
      <w:pPr>
        <w:pStyle w:val="Heading2"/>
        <w:spacing w:after="180" w:before="360"/>
      </w:pPr>
      <w:r>
        <w:rPr>
          <w:b/>
          <w:bCs/>
        </w:rPr>
        <w:t xml:space="preserve">5.2. Mantenimiento Preventivo y Parches de Infraestructura</w:t>
      </w:r>
    </w:p>
    <w:p>
      <w:pPr>
        <w:pStyle w:val="ListParagraph"/>
        <w:numPr>
          <w:ilvl w:val="0"/>
          <w:numId w:val="2"/>
        </w:numPr>
        <w:spacing w:after="120"/>
      </w:pPr>
      <w:r>
        <w:t xml:space="preserve">Los parches de seguridad de sistema operativo e infraestructura siguen los mismos SLA de remediación definidos en SEC-001, sección 6.2, según la severidad del hallazgo.</w:t>
      </w:r>
    </w:p>
    <w:p>
      <w:pPr>
        <w:pStyle w:val="ListParagraph"/>
        <w:numPr>
          <w:ilvl w:val="0"/>
          <w:numId w:val="2"/>
        </w:numPr>
        <w:spacing w:after="120"/>
      </w:pPr>
      <w:r>
        <w:t xml:space="preserve">Las ventanas de mantenimiento programado se comunican con un mínimo de 5 días hábiles de anticipación para servicios Tier 1, y 2 días hábiles para Tier 2 y Tier 3.</w:t>
      </w:r>
    </w:p>
    <w:p>
      <w:pPr>
        <w:pStyle w:val="ListParagraph"/>
        <w:numPr>
          <w:ilvl w:val="0"/>
          <w:numId w:val="2"/>
        </w:numPr>
        <w:spacing w:after="120"/>
      </w:pPr>
      <w:r>
        <w:t xml:space="preserve">Todo mantenimiento que implique riesgo de interrupción de servicio se ejecuta considerando el error budget disponible del servicio afectado (sección 6.1).</w:t>
      </w:r>
    </w:p>
    <w:p>
      <w:pPr>
        <w:pStyle w:val="ListParagraph"/>
        <w:numPr>
          <w:ilvl w:val="0"/>
          <w:numId w:val="2"/>
        </w:numPr>
        <w:spacing w:after="120"/>
      </w:pPr>
      <w:r>
        <w:t xml:space="preserve">Los mantenimientos preventivos se registran en el mismo calendario operativo que las ventanas de despliegue, evitando solapamiento con eventos de negocio de alta criticidad.</w:t>
      </w:r>
    </w:p>
    <w:p>
      <w:pPr>
        <w:pStyle w:val="Heading1"/>
        <w:pageBreakBefore/>
        <w:spacing w:after="240" w:before="480"/>
      </w:pPr>
      <w:r>
        <w:rPr>
          <w:b/>
          <w:bCs/>
        </w:rPr>
        <w:t xml:space="preserve">6. Acuerdos de Nivel de Servicio (SLA, SLO, SLI)</w:t>
      </w:r>
    </w:p>
    <w:p>
      <w:pPr>
        <w:spacing w:after="200" w:line="276"/>
      </w:pPr>
      <w:r>
        <w:t xml:space="preserve">Este capítulo define la terminología y los umbrales de confiabilidad que rigen la operación de los servicios, y cómo el margen de indisponibilidad tolerado (error budget) condiciona las decisiones de despliegue.</w:t>
      </w:r>
    </w:p>
    <w:p>
      <w:pPr>
        <w:spacing w:after="200" w:line="276"/>
      </w:pPr>
      <w:r>
        <w:t xml:space="preserve">Los tres conceptos que sostienen la gestión de confiabilidad se relacionan de la siguiente forma: el SLI mide, el SLO objetiviza internamente esa medición, y el SLA formaliza un compromiso —habitualmente más laxo— frente al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550"/>
        <w:gridCol w:w="270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rPr>
              <w:t xml:space="preserve">Nivel de Servicio</w:t>
            </w:r>
          </w:p>
        </w:tc>
        <w:tc>
          <w:tcPr>
            <w:tcW w:type="dxa" w:w="4550"/>
            <w:shd w:fill="1F3864" w:val="clear"/>
            <w:tcMar>
              <w:top w:type="dxa" w:w="80"/>
              <w:left w:type="dxa" w:w="100"/>
              <w:bottom w:type="dxa" w:w="80"/>
              <w:right w:type="dxa" w:w="100"/>
            </w:tcMar>
            <w:vAlign w:val="center"/>
          </w:tcPr>
          <w:p>
            <w:pPr>
              <w:jc w:val="left"/>
            </w:pPr>
            <w:r>
              <w:rPr>
                <w:b/>
                <w:bCs/>
                <w:color w:val="FFFFFF"/>
              </w:rPr>
              <w:t xml:space="preserve">Definición</w:t>
            </w:r>
          </w:p>
        </w:tc>
        <w:tc>
          <w:tcPr>
            <w:tcW w:type="dxa" w:w="2700"/>
            <w:shd w:fill="1F3864" w:val="clear"/>
            <w:tcMar>
              <w:top w:type="dxa" w:w="80"/>
              <w:left w:type="dxa" w:w="100"/>
              <w:bottom w:type="dxa" w:w="80"/>
              <w:right w:type="dxa" w:w="100"/>
            </w:tcMar>
            <w:vAlign w:val="center"/>
          </w:tcPr>
          <w:p>
            <w:pPr>
              <w:jc w:val="left"/>
            </w:pPr>
            <w:r>
              <w:rPr>
                <w:b/>
                <w:bCs/>
                <w:color w:val="FFFFFF"/>
              </w:rPr>
              <w:t xml:space="preserve">Ejemplo</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SLI (Indicador)</w:t>
            </w:r>
          </w:p>
        </w:tc>
        <w:tc>
          <w:tcPr>
            <w:tcW w:type="dxa" w:w="4550"/>
            <w:shd w:fill="FFFFFF" w:val="clear"/>
            <w:tcMar>
              <w:top w:type="dxa" w:w="80"/>
              <w:left w:type="dxa" w:w="100"/>
              <w:bottom w:type="dxa" w:w="80"/>
              <w:right w:type="dxa" w:w="100"/>
            </w:tcMar>
            <w:vAlign w:val="center"/>
          </w:tcPr>
          <w:p>
            <w:pPr>
              <w:jc w:val="left"/>
            </w:pPr>
            <w:r>
              <w:rPr>
                <w:b w:val="false"/>
                <w:bCs w:val="false"/>
                <w:color w:val="000000"/>
              </w:rPr>
              <w:t xml:space="preserve">Métrica cuantitativa que mide un aspecto del comportamiento del servicio, medida directamente desde el sistema.</w:t>
            </w:r>
          </w:p>
        </w:tc>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Porcentaje de solicitudes HTTP respondidas en menos de 300 ms.</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SLO (Objetivo)</w:t>
            </w:r>
          </w:p>
        </w:tc>
        <w:tc>
          <w:tcPr>
            <w:tcW w:type="dxa" w:w="4550"/>
            <w:shd w:fill="F2F2F2" w:val="clear"/>
            <w:tcMar>
              <w:top w:type="dxa" w:w="80"/>
              <w:left w:type="dxa" w:w="100"/>
              <w:bottom w:type="dxa" w:w="80"/>
              <w:right w:type="dxa" w:w="100"/>
            </w:tcMar>
            <w:vAlign w:val="center"/>
          </w:tcPr>
          <w:p>
            <w:pPr>
              <w:jc w:val="left"/>
            </w:pPr>
            <w:r>
              <w:rPr>
                <w:b w:val="false"/>
                <w:bCs w:val="false"/>
                <w:color w:val="000000"/>
              </w:rPr>
              <w:t xml:space="preserve">Umbral objetivo interno definido para un SLI, utilizado para la gestión proactiva de la confiabilidad.</w:t>
            </w:r>
          </w:p>
        </w:tc>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99.9 % de las solicitudes en menos de 300 ms durante una ventana móvil de 30 días.</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SLA (Acuerdo)</w:t>
            </w:r>
          </w:p>
        </w:tc>
        <w:tc>
          <w:tcPr>
            <w:tcW w:type="dxa" w:w="4550"/>
            <w:shd w:fill="FFFFFF" w:val="clear"/>
            <w:tcMar>
              <w:top w:type="dxa" w:w="80"/>
              <w:left w:type="dxa" w:w="100"/>
              <w:bottom w:type="dxa" w:w="80"/>
              <w:right w:type="dxa" w:w="100"/>
            </w:tcMar>
            <w:vAlign w:val="center"/>
          </w:tcPr>
          <w:p>
            <w:pPr>
              <w:jc w:val="left"/>
            </w:pPr>
            <w:r>
              <w:rPr>
                <w:b w:val="false"/>
                <w:bCs w:val="false"/>
                <w:color w:val="000000"/>
              </w:rPr>
              <w:t xml:space="preserve">Compromiso contractual o formal frente al cliente, con consecuencias definidas ante incumplimiento. Es habitualmente más laxo que el SLO interno.</w:t>
            </w:r>
          </w:p>
        </w:tc>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99.5 % de disponibilidad mensual, con crédito de servicio ante incumplimiento.</w:t>
            </w:r>
          </w:p>
        </w:tc>
      </w:tr>
    </w:tbl>
    <w:p>
      <w:pPr>
        <w:spacing w:after="200" w:line="276"/>
      </w:pPr>
      <w:r>
        <w:t xml:space="preserve">Los servicios se clasifican en tres niveles de criticidad, cada uno con un SLO de disponibilidad objetivo: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50"/>
      </w:tblGrid>
      <w:tr>
        <w:trPr>
          <w:tblHeader/>
        </w:trPr>
        <w:tc>
          <w:tcPr>
            <w:tcW w:type="dxa" w:w="3100"/>
            <w:shd w:fill="1F3864" w:val="clear"/>
            <w:tcMar>
              <w:top w:type="dxa" w:w="80"/>
              <w:left w:type="dxa" w:w="100"/>
              <w:bottom w:type="dxa" w:w="80"/>
              <w:right w:type="dxa" w:w="100"/>
            </w:tcMar>
            <w:vAlign w:val="center"/>
          </w:tcPr>
          <w:p>
            <w:pPr>
              <w:jc w:val="left"/>
            </w:pPr>
            <w:r>
              <w:rPr>
                <w:b/>
                <w:bCs/>
                <w:color w:val="FFFFFF"/>
              </w:rPr>
              <w:t xml:space="preserve">Nivel de Criticidad</w:t>
            </w:r>
          </w:p>
        </w:tc>
        <w:tc>
          <w:tcPr>
            <w:tcW w:type="dxa" w:w="2400"/>
            <w:shd w:fill="1F3864" w:val="clear"/>
            <w:tcMar>
              <w:top w:type="dxa" w:w="80"/>
              <w:left w:type="dxa" w:w="100"/>
              <w:bottom w:type="dxa" w:w="80"/>
              <w:right w:type="dxa" w:w="100"/>
            </w:tcMar>
            <w:vAlign w:val="center"/>
          </w:tcPr>
          <w:p>
            <w:pPr>
              <w:jc w:val="left"/>
            </w:pPr>
            <w:r>
              <w:rPr>
                <w:b/>
                <w:bCs/>
                <w:color w:val="FFFFFF"/>
              </w:rPr>
              <w:t xml:space="preserve">SLO de Disponibilidad</w:t>
            </w:r>
          </w:p>
        </w:tc>
        <w:tc>
          <w:tcPr>
            <w:tcW w:type="dxa" w:w="3850"/>
            <w:shd w:fill="1F3864" w:val="clear"/>
            <w:tcMar>
              <w:top w:type="dxa" w:w="80"/>
              <w:left w:type="dxa" w:w="100"/>
              <w:bottom w:type="dxa" w:w="80"/>
              <w:right w:type="dxa" w:w="100"/>
            </w:tcMar>
            <w:vAlign w:val="center"/>
          </w:tcPr>
          <w:p>
            <w:pPr>
              <w:jc w:val="left"/>
            </w:pPr>
            <w:r>
              <w:rPr>
                <w:b/>
                <w:bCs/>
                <w:color w:val="FFFFFF"/>
              </w:rPr>
              <w:t xml:space="preserve">Ejemplo de Servicio</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Tier 1 — Crítico de negocio</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99.95 %</w:t>
            </w:r>
          </w:p>
        </w:tc>
        <w:tc>
          <w:tcPr>
            <w:tcW w:type="dxa" w:w="3850"/>
            <w:shd w:fill="FFFFFF" w:val="clear"/>
            <w:tcMar>
              <w:top w:type="dxa" w:w="80"/>
              <w:left w:type="dxa" w:w="100"/>
              <w:bottom w:type="dxa" w:w="80"/>
              <w:right w:type="dxa" w:w="100"/>
            </w:tcMar>
            <w:vAlign w:val="center"/>
          </w:tcPr>
          <w:p>
            <w:pPr>
              <w:jc w:val="left"/>
            </w:pPr>
            <w:r>
              <w:rPr>
                <w:b w:val="false"/>
                <w:bCs w:val="false"/>
                <w:color w:val="000000"/>
              </w:rPr>
              <w:t xml:space="preserve">Plataforma de pagos, autenticación.</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Tier 2 — Importante</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99.9 %</w:t>
            </w:r>
          </w:p>
        </w:tc>
        <w:tc>
          <w:tcPr>
            <w:tcW w:type="dxa" w:w="3850"/>
            <w:shd w:fill="F2F2F2" w:val="clear"/>
            <w:tcMar>
              <w:top w:type="dxa" w:w="80"/>
              <w:left w:type="dxa" w:w="100"/>
              <w:bottom w:type="dxa" w:w="80"/>
              <w:right w:type="dxa" w:w="100"/>
            </w:tcMar>
            <w:vAlign w:val="center"/>
          </w:tcPr>
          <w:p>
            <w:pPr>
              <w:jc w:val="left"/>
            </w:pPr>
            <w:r>
              <w:rPr>
                <w:b w:val="false"/>
                <w:bCs w:val="false"/>
                <w:color w:val="000000"/>
              </w:rPr>
              <w:t xml:space="preserve">Catálogo de productos, notificaciones.</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Tier 3 — Soporte</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99.5 %</w:t>
            </w:r>
          </w:p>
        </w:tc>
        <w:tc>
          <w:tcPr>
            <w:tcW w:type="dxa" w:w="3850"/>
            <w:shd w:fill="FFFFFF" w:val="clear"/>
            <w:tcMar>
              <w:top w:type="dxa" w:w="80"/>
              <w:left w:type="dxa" w:w="100"/>
              <w:bottom w:type="dxa" w:w="80"/>
              <w:right w:type="dxa" w:w="100"/>
            </w:tcMar>
            <w:vAlign w:val="center"/>
          </w:tcPr>
          <w:p>
            <w:pPr>
              <w:jc w:val="left"/>
            </w:pPr>
            <w:r>
              <w:rPr>
                <w:b w:val="false"/>
                <w:bCs w:val="false"/>
                <w:color w:val="000000"/>
              </w:rPr>
              <w:t xml:space="preserve">Reportería interna, herramientas administrativas.</w:t>
            </w:r>
          </w:p>
        </w:tc>
      </w:tr>
    </w:tbl>
    <w:p>
      <w:pPr>
        <w:pStyle w:val="Heading2"/>
        <w:spacing w:after="180" w:before="360"/>
      </w:pPr>
      <w:r>
        <w:rPr>
          <w:b/>
          <w:bCs/>
        </w:rPr>
        <w:t xml:space="preserve">6.1. Definición de Errores Tolerables y Error Budgets</w:t>
      </w:r>
    </w:p>
    <w:p>
      <w:pPr>
        <w:spacing w:after="200" w:line="276"/>
      </w:pPr>
      <w:r>
        <w:t xml:space="preserve">El error budget traduce el SLO en una regla operativa concreta que equilibra la velocidad de entrega con la estabilidad del servicio: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rPr>
              <w:t xml:space="preserve">Concepto</w:t>
            </w:r>
          </w:p>
        </w:tc>
        <w:tc>
          <w:tcPr>
            <w:tcW w:type="dxa" w:w="6950"/>
            <w:shd w:fill="1F3864" w:val="clear"/>
            <w:tcMar>
              <w:top w:type="dxa" w:w="80"/>
              <w:left w:type="dxa" w:w="100"/>
              <w:bottom w:type="dxa" w:w="80"/>
              <w:right w:type="dxa" w:w="100"/>
            </w:tcMar>
            <w:vAlign w:val="center"/>
          </w:tcPr>
          <w:p>
            <w:pPr>
              <w:jc w:val="left"/>
            </w:pPr>
            <w:r>
              <w:rPr>
                <w:b/>
                <w:bCs/>
                <w:color w:val="FFFFFF"/>
              </w:rPr>
              <w:t xml:space="preserve">Definición y Regla de Aplicación</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Error Budget</w:t>
            </w:r>
          </w:p>
        </w:tc>
        <w:tc>
          <w:tcPr>
            <w:tcW w:type="dxa" w:w="6950"/>
            <w:shd w:fill="FFFFFF" w:val="clear"/>
            <w:tcMar>
              <w:top w:type="dxa" w:w="80"/>
              <w:left w:type="dxa" w:w="100"/>
              <w:bottom w:type="dxa" w:w="80"/>
              <w:right w:type="dxa" w:w="100"/>
            </w:tcMar>
            <w:vAlign w:val="center"/>
          </w:tcPr>
          <w:p>
            <w:pPr>
              <w:jc w:val="left"/>
            </w:pPr>
            <w:r>
              <w:rPr>
                <w:b w:val="false"/>
                <w:bCs w:val="false"/>
                <w:color w:val="000000"/>
              </w:rPr>
              <w:t xml:space="preserve">Complemento del SLO: el margen de indisponibilidad tolerado en la ventana de medición. Un SLO de 99.9 % implica un error budget de 0.1 % del tiempo (≈ 43 minutos al mes).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Consumo del budget</w:t>
            </w:r>
          </w:p>
        </w:tc>
        <w:tc>
          <w:tcPr>
            <w:tcW w:type="dxa" w:w="6950"/>
            <w:shd w:fill="F2F2F2" w:val="clear"/>
            <w:tcMar>
              <w:top w:type="dxa" w:w="80"/>
              <w:left w:type="dxa" w:w="100"/>
              <w:bottom w:type="dxa" w:w="80"/>
              <w:right w:type="dxa" w:w="100"/>
            </w:tcMar>
            <w:vAlign w:val="center"/>
          </w:tcPr>
          <w:p>
            <w:pPr>
              <w:jc w:val="left"/>
            </w:pPr>
            <w:r>
              <w:rPr>
                <w:b w:val="false"/>
                <w:bCs w:val="false"/>
                <w:color w:val="000000"/>
              </w:rPr>
              <w:t xml:space="preserve">Se calcula de forma continua a partir de los SLI reales; se visualiza en el tablero de confiabilidad junto a las métricas DORA y de seguridad de GOB-001.</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Budget agotado</w:t>
            </w:r>
          </w:p>
        </w:tc>
        <w:tc>
          <w:tcPr>
            <w:tcW w:type="dxa" w:w="6950"/>
            <w:shd w:fill="FFFFFF" w:val="clear"/>
            <w:tcMar>
              <w:top w:type="dxa" w:w="80"/>
              <w:left w:type="dxa" w:w="100"/>
              <w:bottom w:type="dxa" w:w="80"/>
              <w:right w:type="dxa" w:w="100"/>
            </w:tcMar>
            <w:vAlign w:val="center"/>
          </w:tcPr>
          <w:p>
            <w:pPr>
              <w:jc w:val="left"/>
            </w:pPr>
            <w:r>
              <w:rPr>
                <w:b w:val="false"/>
                <w:bCs w:val="false"/>
                <w:color w:val="000000"/>
              </w:rPr>
              <w:t xml:space="preserve">Cuando el error budget de un servicio se agota antes de finalizar la ventana, se congelan los despliegues no esenciales de ese servicio hasta recuperar margen, priorizando trabajo de confiabilidad sobre nuevas funcionalidades.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Budget saludable</w:t>
            </w:r>
          </w:p>
        </w:tc>
        <w:tc>
          <w:tcPr>
            <w:tcW w:type="dxa" w:w="6950"/>
            <w:shd w:fill="F2F2F2" w:val="clear"/>
            <w:tcMar>
              <w:top w:type="dxa" w:w="80"/>
              <w:left w:type="dxa" w:w="100"/>
              <w:bottom w:type="dxa" w:w="80"/>
              <w:right w:type="dxa" w:w="100"/>
            </w:tcMar>
            <w:vAlign w:val="center"/>
          </w:tcPr>
          <w:p>
            <w:pPr>
              <w:jc w:val="left"/>
            </w:pPr>
            <w:r>
              <w:rPr>
                <w:b w:val="false"/>
                <w:bCs w:val="false"/>
                <w:color w:val="000000"/>
              </w:rPr>
              <w:t xml:space="preserve">Un servicio con error budget disponible puede asumir mayor riesgo de despliegue (mayor frecuencia, cambios más grandes), en línea con el principio de Automatización por Defecto de GOB-001.</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Revisión</w:t>
            </w:r>
          </w:p>
        </w:tc>
        <w:tc>
          <w:tcPr>
            <w:tcW w:type="dxa" w:w="6950"/>
            <w:shd w:fill="FFFFFF" w:val="clear"/>
            <w:tcMar>
              <w:top w:type="dxa" w:w="80"/>
              <w:left w:type="dxa" w:w="100"/>
              <w:bottom w:type="dxa" w:w="80"/>
              <w:right w:type="dxa" w:w="100"/>
            </w:tcMar>
            <w:vAlign w:val="center"/>
          </w:tcPr>
          <w:p>
            <w:pPr>
              <w:jc w:val="left"/>
            </w:pPr>
            <w:r>
              <w:rPr>
                <w:b w:val="false"/>
                <w:bCs w:val="false"/>
                <w:color w:val="000000"/>
              </w:rPr>
              <w:t xml:space="preserve">El consumo de error budget se revisa en cada sesión del Comité de Gobierno DevSecOps para los servicios Tier 1 y Tier 2.</w:t>
            </w:r>
          </w:p>
        </w:tc>
      </w:tr>
    </w:tbl>
    <w:p>
      <w:pPr>
        <w:pStyle w:val="Heading1"/>
        <w:pageBreakBefore/>
        <w:spacing w:after="240" w:before="480"/>
      </w:pPr>
      <w:r>
        <w:rPr>
          <w:b/>
          <w:bCs/>
        </w:rPr>
        <w:t xml:space="preserve">7. Anexos</w:t>
      </w:r>
    </w:p>
    <w:p>
      <w:pPr>
        <w:pStyle w:val="Heading2"/>
        <w:spacing w:after="180" w:before="360"/>
      </w:pPr>
      <w:r>
        <w:rPr>
          <w:b/>
          <w:bCs/>
        </w:rPr>
        <w:t xml:space="preserve">7.1. Plantilla para Reportes de Post-Mortem</w:t>
      </w:r>
    </w:p>
    <w:p>
      <w:pPr>
        <w:spacing w:after="200" w:line="276"/>
      </w:pPr>
      <w:r>
        <w:t xml:space="preserve">Todo post-mortem formal (sección 4.3) debe completarse utilizando la siguiente estructura mínima, disponible como plantilla en el repositorio interno de conocimiento: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Sección</w:t>
            </w:r>
          </w:p>
        </w:tc>
        <w:tc>
          <w:tcPr>
            <w:tcW w:type="dxa" w:w="6700"/>
            <w:shd w:fill="1F3864" w:val="clear"/>
            <w:tcMar>
              <w:top w:type="dxa" w:w="80"/>
              <w:left w:type="dxa" w:w="100"/>
              <w:bottom w:type="dxa" w:w="80"/>
              <w:right w:type="dxa" w:w="100"/>
            </w:tcMar>
            <w:vAlign w:val="center"/>
          </w:tcPr>
          <w:p>
            <w:pPr>
              <w:jc w:val="left"/>
            </w:pPr>
            <w:r>
              <w:rPr>
                <w:b/>
                <w:bCs/>
                <w:color w:val="FFFFFF"/>
              </w:rPr>
              <w:t xml:space="preserve">Contenido Esperado</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Resumen ejecutivo</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Qué ocurrió, duración, impacto en usuarios y negocio, en un máximo de 3 líneas.</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Línea de tiempo</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Secuencia cronológica de eventos, detección, acciones tomadas y mitigación, con marcas de tiempo exactas.</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Impacto</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Usuarios afectados, servicios degradados, impacto financiero o reputacional estimado.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Causa raíz</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Análisis técnico de la causa raíz, utilizando una técnica estructurada (5 Porqués o Diagrama de Ishikawa).</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Qué funcionó bien</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Prácticas, alertas o decisiones que ayudaron a detectar o mitigar el incidente más rápido.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Qué se puede mejorar</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Brechas identificadas sin atribuir culpa individual; el foco está en el sistema y el proceso, no en las personas.</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Acciones de seguimiento</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Lista de acciones concretas, cada una con responsable y fecha compromiso, registradas en el backlog del equipo.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Participantes</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Lista de asistentes a la sesión de post-mortem.</w:t>
            </w:r>
          </w:p>
        </w:tc>
      </w:tr>
    </w:tbl>
    <w:p>
      <w:pPr>
        <w:spacing w:after="200" w:line="276"/>
      </w:pPr>
      <w:r>
        <w:t xml:space="preserve">La plantilla completa incluye además un campo de metadatos con identificador del incidente, prioridad asignada, servicios afectados y duración total, que se sincroniza automáticamente con el sistema de gestión de incidentes.</w:t>
      </w:r>
    </w:p>
    <w:p>
      <w:pPr>
        <w:pBdr>
          <w:top w:val="single" w:color="BFBFBF" w:sz="4"/>
        </w:pBdr>
        <w:spacing w:before="400"/>
      </w:pPr>
    </w:p>
    <w:p>
      <w:pPr>
        <w:spacing w:before="200"/>
      </w:pPr>
      <w:r>
        <w:rPr>
          <w:i/>
          <w:iCs/>
          <w:color w:val="808080"/>
          <w:sz w:val="18"/>
          <w:szCs w:val="18"/>
        </w:rPr>
        <w:t xml:space="preserve">Fin del documento OPS-001 — Modelo Operativo Inicial</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OPS-001 · Modelo Operativo Inicial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2026-08-03T21:57:06.852Z</dcterms:created>
  <dcterms:modified xsi:type="dcterms:W3CDTF">2026-08-03T21:57:06.875Z</dcterms:modified>
</cp:coreProperties>
</file>

<file path=docProps/custom.xml><?xml version="1.0" encoding="utf-8"?>
<Properties xmlns="http://schemas.openxmlformats.org/officeDocument/2006/custom-properties" xmlns:vt="http://schemas.openxmlformats.org/officeDocument/2006/docPropsVTypes"/>
</file>