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5395"/>
          <w:sz w:val="32"/>
          <w:szCs w:val="32"/>
        </w:rPr>
        <w:t xml:space="preserve">PLT-001</w:t>
      </w:r>
    </w:p>
    <w:p>
      <w:pPr>
        <w:spacing w:after="120" w:before="240"/>
        <w:jc w:val="center"/>
      </w:pPr>
      <w:r>
        <w:rPr>
          <w:b/>
          <w:bCs/>
          <w:color w:val="1F3864"/>
          <w:sz w:val="52"/>
          <w:szCs w:val="52"/>
        </w:rPr>
        <w:t xml:space="preserve">Documento de Implementación GitLab</w:t>
      </w:r>
    </w:p>
    <w:p>
      <w:pPr>
        <w:spacing w:after="600"/>
        <w:jc w:val="center"/>
      </w:pPr>
      <w:r>
        <w:rPr>
          <w:i/>
          <w:iCs/>
          <w:color w:val="595959"/>
          <w:sz w:val="24"/>
          <w:szCs w:val="24"/>
        </w:rPr>
        <w:t xml:space="preserve">Estructura de grupos, hardening, runners, integraciones y continuidad de la plataforma central de CI/CD</w:t>
      </w:r>
    </w:p>
    <w:p>
      <w:pPr>
        <w:spacing w:before="1600"/>
        <w:jc w:val="center"/>
      </w:pPr>
      <w:r>
        <w:rPr>
          <w:color w:val="595959"/>
          <w:sz w:val="22"/>
          <w:szCs w:val="22"/>
        </w:rPr>
        <w:t xml:space="preserve">Versión 1.0  ·  Agosto 2026</w:t>
      </w:r>
    </w:p>
    <w:p>
      <w:pPr>
        <w:jc w:val="center"/>
      </w:pPr>
      <w:r>
        <w:rPr>
          <w:b/>
          <w:bCs/>
          <w:color w:val="C00000"/>
          <w:sz w:val="22"/>
          <w:szCs w:val="22"/>
        </w:rPr>
        <w:t xml:space="preserve">Clasificación: Uso Interno</w:t>
      </w:r>
    </w:p>
    <w:p>
      <w:pPr>
        <w:pStyle w:val="Heading1"/>
        <w:pageBreakBefore/>
        <w:spacing w:after="240"/>
      </w:pPr>
      <w:r>
        <w:rPr>
          <w:b/>
          <w:bCs/>
        </w:rPr>
        <w:t xml:space="preserve">1. Control del Documento y Control de Cambios</w:t>
      </w:r>
    </w:p>
    <w:p>
      <w:pPr>
        <w:spacing w:after="200" w:line="276"/>
      </w:pPr>
      <w:r>
        <w:t xml:space="preserve">Este documento especifica la implementación técnica de GitLab Ultimate como plataforma central de CI/CD de la organización, conforme a lo establecido en ARC-001, sección 4.1. Su vigencia, distribución y modificaciones están sujetas al proceso de gestión documental descrito a continuación.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3864" w:val="clear"/>
            <w:tcMar>
              <w:top w:type="dxa" w:w="80"/>
              <w:left w:type="dxa" w:w="100"/>
              <w:bottom w:type="dxa" w:w="80"/>
              <w:right w:type="dxa" w:w="100"/>
            </w:tcMar>
            <w:vAlign w:val="center"/>
          </w:tcPr>
          <w:p>
            <w:pPr>
              <w:jc w:val="left"/>
            </w:pPr>
            <w:r>
              <w:rPr>
                <w:b/>
                <w:bCs/>
                <w:color w:val="FFFFFF"/>
              </w:rPr>
              <w:t xml:space="preserve">Campo</w:t>
            </w:r>
          </w:p>
        </w:tc>
        <w:tc>
          <w:tcPr>
            <w:tcW w:type="dxa" w:w="7000"/>
            <w:shd w:fill="1F3864" w:val="clear"/>
            <w:tcMar>
              <w:top w:type="dxa" w:w="80"/>
              <w:left w:type="dxa" w:w="100"/>
              <w:bottom w:type="dxa" w:w="80"/>
              <w:right w:type="dxa" w:w="100"/>
            </w:tcMar>
            <w:vAlign w:val="center"/>
          </w:tcPr>
          <w:p>
            <w:pPr>
              <w:jc w:val="left"/>
            </w:pPr>
            <w:r>
              <w:rPr>
                <w:b/>
                <w:bCs/>
                <w:color w:val="FFFFFF"/>
              </w:rPr>
              <w:t xml:space="preserve">Detalle</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Código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PLT-001</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Clasificación</w:t>
            </w:r>
          </w:p>
        </w:tc>
        <w:tc>
          <w:tcPr>
            <w:tcW w:type="dxa" w:w="7000"/>
            <w:tcMar>
              <w:top w:type="dxa" w:w="80"/>
              <w:left w:type="dxa" w:w="100"/>
              <w:bottom w:type="dxa" w:w="80"/>
              <w:right w:type="dxa" w:w="100"/>
            </w:tcMar>
            <w:vAlign w:val="center"/>
          </w:tcPr>
          <w:p>
            <w:pPr>
              <w:jc w:val="left"/>
            </w:pPr>
            <w:r>
              <w:rPr>
                <w:b w:val="false"/>
                <w:bCs w:val="false"/>
                <w:color w:val="000000"/>
              </w:rPr>
              <w:t xml:space="preserve">Uso Interno — Distribución restringida a Plataforma, Seguridad y Administradores de GitLab.</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Propietario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Head of Platform Engineering</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Frecuencia de Revisión</w:t>
            </w:r>
          </w:p>
        </w:tc>
        <w:tc>
          <w:tcPr>
            <w:tcW w:type="dxa" w:w="7000"/>
            <w:tcMar>
              <w:top w:type="dxa" w:w="80"/>
              <w:left w:type="dxa" w:w="100"/>
              <w:bottom w:type="dxa" w:w="80"/>
              <w:right w:type="dxa" w:w="100"/>
            </w:tcMar>
            <w:vAlign w:val="center"/>
          </w:tcPr>
          <w:p>
            <w:pPr>
              <w:jc w:val="left"/>
            </w:pPr>
            <w:r>
              <w:rPr>
                <w:b w:val="false"/>
                <w:bCs w:val="false"/>
                <w:color w:val="000000"/>
              </w:rPr>
              <w:t xml:space="preserve">Semestral, o ante una actualización mayor de GitLab, cambio de proveedor cloud o incidente de plataforma.</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Próxima Revisión Programada</w:t>
            </w:r>
          </w:p>
        </w:tc>
        <w:tc>
          <w:tcPr>
            <w:tcW w:type="dxa" w:w="7000"/>
            <w:tcMar>
              <w:top w:type="dxa" w:w="80"/>
              <w:left w:type="dxa" w:w="100"/>
              <w:bottom w:type="dxa" w:w="80"/>
              <w:right w:type="dxa" w:w="100"/>
            </w:tcMar>
            <w:vAlign w:val="center"/>
          </w:tcPr>
          <w:p>
            <w:pPr>
              <w:jc w:val="left"/>
            </w:pPr>
            <w:r>
              <w:rPr>
                <w:b w:val="false"/>
                <w:bCs w:val="false"/>
                <w:color w:val="000000"/>
              </w:rPr>
              <w:t xml:space="preserve">2027-02-02</w:t>
            </w:r>
          </w:p>
        </w:tc>
      </w:tr>
    </w:tbl>
    <w:p>
      <w:pPr>
        <w:spacing w:after="150" w:before="300"/>
      </w:pPr>
      <w:r>
        <w:rPr>
          <w:b/>
          <w:bCs/>
        </w:rPr>
        <w:t xml:space="preserve">Historial de Versiones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550"/>
        <w:gridCol w:w="4000"/>
      </w:tblGrid>
      <w:tr>
        <w:trPr>
          <w:tblHeader/>
        </w:trPr>
        <w:tc>
          <w:tcPr>
            <w:tcW w:type="dxa" w:w="1400"/>
            <w:shd w:fill="1F3864" w:val="clear"/>
            <w:tcMar>
              <w:top w:type="dxa" w:w="80"/>
              <w:left w:type="dxa" w:w="100"/>
              <w:bottom w:type="dxa" w:w="80"/>
              <w:right w:type="dxa" w:w="100"/>
            </w:tcMar>
            <w:vAlign w:val="center"/>
          </w:tcPr>
          <w:p>
            <w:pPr>
              <w:jc w:val="left"/>
            </w:pPr>
            <w:r>
              <w:rPr>
                <w:b/>
                <w:bCs/>
                <w:color w:val="FFFFFF"/>
              </w:rPr>
              <w:t xml:space="preserve">Versión</w:t>
            </w:r>
          </w:p>
        </w:tc>
        <w:tc>
          <w:tcPr>
            <w:tcW w:type="dxa" w:w="1400"/>
            <w:shd w:fill="1F3864" w:val="clear"/>
            <w:tcMar>
              <w:top w:type="dxa" w:w="80"/>
              <w:left w:type="dxa" w:w="100"/>
              <w:bottom w:type="dxa" w:w="80"/>
              <w:right w:type="dxa" w:w="100"/>
            </w:tcMar>
            <w:vAlign w:val="center"/>
          </w:tcPr>
          <w:p>
            <w:pPr>
              <w:jc w:val="left"/>
            </w:pPr>
            <w:r>
              <w:rPr>
                <w:b/>
                <w:bCs/>
                <w:color w:val="FFFFFF"/>
              </w:rPr>
              <w:t xml:space="preserve">Fecha</w:t>
            </w:r>
          </w:p>
        </w:tc>
        <w:tc>
          <w:tcPr>
            <w:tcW w:type="dxa" w:w="2550"/>
            <w:shd w:fill="1F3864" w:val="clear"/>
            <w:tcMar>
              <w:top w:type="dxa" w:w="80"/>
              <w:left w:type="dxa" w:w="100"/>
              <w:bottom w:type="dxa" w:w="80"/>
              <w:right w:type="dxa" w:w="100"/>
            </w:tcMar>
            <w:vAlign w:val="center"/>
          </w:tcPr>
          <w:p>
            <w:pPr>
              <w:jc w:val="left"/>
            </w:pPr>
            <w:r>
              <w:rPr>
                <w:b/>
                <w:bCs/>
                <w:color w:val="FFFFFF"/>
              </w:rPr>
              <w:t xml:space="preserve">Autor / Responsable</w:t>
            </w:r>
          </w:p>
        </w:tc>
        <w:tc>
          <w:tcPr>
            <w:tcW w:type="dxa" w:w="4000"/>
            <w:shd w:fill="1F3864" w:val="clear"/>
            <w:tcMar>
              <w:top w:type="dxa" w:w="80"/>
              <w:left w:type="dxa" w:w="100"/>
              <w:bottom w:type="dxa" w:w="80"/>
              <w:right w:type="dxa" w:w="100"/>
            </w:tcMar>
            <w:vAlign w:val="center"/>
          </w:tcPr>
          <w:p>
            <w:pPr>
              <w:jc w:val="left"/>
            </w:pPr>
            <w:r>
              <w:rPr>
                <w:b/>
                <w:bCs/>
                <w:color w:val="FFFFFF"/>
              </w:rPr>
              <w:t xml:space="preserve">Descripción del Cambio</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0.1</w:t>
            </w:r>
          </w:p>
        </w:tc>
        <w:tc>
          <w:tcPr>
            <w:tcW w:type="dxa" w:w="1400"/>
            <w:tcMar>
              <w:top w:type="dxa" w:w="80"/>
              <w:left w:type="dxa" w:w="100"/>
              <w:bottom w:type="dxa" w:w="80"/>
              <w:right w:type="dxa" w:w="100"/>
            </w:tcMar>
            <w:vAlign w:val="center"/>
          </w:tcPr>
          <w:p>
            <w:pPr>
              <w:jc w:val="left"/>
            </w:pPr>
            <w:r>
              <w:rPr>
                <w:b w:val="false"/>
                <w:bCs w:val="false"/>
                <w:color w:val="000000"/>
              </w:rPr>
              <w:t xml:space="preserve">2026-05-25</w:t>
            </w:r>
          </w:p>
        </w:tc>
        <w:tc>
          <w:tcPr>
            <w:tcW w:type="dxa" w:w="2550"/>
            <w:tcMar>
              <w:top w:type="dxa" w:w="80"/>
              <w:left w:type="dxa" w:w="100"/>
              <w:bottom w:type="dxa" w:w="80"/>
              <w:right w:type="dxa" w:w="100"/>
            </w:tcMar>
            <w:vAlign w:val="center"/>
          </w:tcPr>
          <w:p>
            <w:pPr>
              <w:jc w:val="left"/>
            </w:pPr>
            <w:r>
              <w:rPr>
                <w:b w:val="false"/>
                <w:bCs w:val="false"/>
                <w:color w:val="000000"/>
              </w:rPr>
              <w:t xml:space="preserve">Equipo de Plataforma DevSecOps</w:t>
            </w:r>
          </w:p>
        </w:tc>
        <w:tc>
          <w:tcPr>
            <w:tcW w:type="dxa" w:w="4000"/>
            <w:tcMar>
              <w:top w:type="dxa" w:w="80"/>
              <w:left w:type="dxa" w:w="100"/>
              <w:bottom w:type="dxa" w:w="80"/>
              <w:right w:type="dxa" w:w="100"/>
            </w:tcMar>
            <w:vAlign w:val="center"/>
          </w:tcPr>
          <w:p>
            <w:pPr>
              <w:jc w:val="left"/>
            </w:pPr>
            <w:r>
              <w:rPr>
                <w:b w:val="false"/>
                <w:bCs w:val="false"/>
                <w:color w:val="000000"/>
              </w:rPr>
              <w:t xml:space="preserve">Borrador inicial de estructura de grupos, hardening y runners.</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0.6</w:t>
            </w:r>
          </w:p>
        </w:tc>
        <w:tc>
          <w:tcPr>
            <w:tcW w:type="dxa" w:w="1400"/>
            <w:tcMar>
              <w:top w:type="dxa" w:w="80"/>
              <w:left w:type="dxa" w:w="100"/>
              <w:bottom w:type="dxa" w:w="80"/>
              <w:right w:type="dxa" w:w="100"/>
            </w:tcMar>
            <w:vAlign w:val="center"/>
          </w:tcPr>
          <w:p>
            <w:pPr>
              <w:jc w:val="left"/>
            </w:pPr>
            <w:r>
              <w:rPr>
                <w:b w:val="false"/>
                <w:bCs w:val="false"/>
                <w:color w:val="000000"/>
              </w:rPr>
              <w:t xml:space="preserve">2026-06-30</w:t>
            </w:r>
          </w:p>
        </w:tc>
        <w:tc>
          <w:tcPr>
            <w:tcW w:type="dxa" w:w="2550"/>
            <w:tcMar>
              <w:top w:type="dxa" w:w="80"/>
              <w:left w:type="dxa" w:w="100"/>
              <w:bottom w:type="dxa" w:w="80"/>
              <w:right w:type="dxa" w:w="100"/>
            </w:tcMar>
            <w:vAlign w:val="center"/>
          </w:tcPr>
          <w:p>
            <w:pPr>
              <w:jc w:val="left"/>
            </w:pPr>
            <w:r>
              <w:rPr>
                <w:b w:val="false"/>
                <w:bCs w:val="false"/>
                <w:color w:val="000000"/>
              </w:rPr>
              <w:t xml:space="preserve">Comité de Gobierno DevSecOps</w:t>
            </w:r>
          </w:p>
        </w:tc>
        <w:tc>
          <w:tcPr>
            <w:tcW w:type="dxa" w:w="4000"/>
            <w:tcMar>
              <w:top w:type="dxa" w:w="80"/>
              <w:left w:type="dxa" w:w="100"/>
              <w:bottom w:type="dxa" w:w="80"/>
              <w:right w:type="dxa" w:w="100"/>
            </w:tcMar>
            <w:vAlign w:val="center"/>
          </w:tcPr>
          <w:p>
            <w:pPr>
              <w:jc w:val="left"/>
            </w:pPr>
            <w:r>
              <w:rPr>
                <w:b w:val="false"/>
                <w:bCs w:val="false"/>
                <w:color w:val="000000"/>
              </w:rPr>
              <w:t xml:space="preserve">Incorporación de integraciones, estrategia de DRP y playbook de despliegue de runners.</w:t>
            </w:r>
          </w:p>
        </w:tc>
      </w:tr>
      <w:tr>
        <w:tc>
          <w:tcPr>
            <w:tcW w:type="dxa" w:w="1400"/>
            <w:tcMar>
              <w:top w:type="dxa" w:w="80"/>
              <w:left w:type="dxa" w:w="100"/>
              <w:bottom w:type="dxa" w:w="80"/>
              <w:right w:type="dxa" w:w="100"/>
            </w:tcMar>
            <w:vAlign w:val="center"/>
          </w:tcPr>
          <w:p>
            <w:pPr>
              <w:jc w:val="left"/>
            </w:pPr>
            <w:r>
              <w:rPr>
                <w:b w:val="false"/>
                <w:bCs w:val="false"/>
                <w:color w:val="000000"/>
              </w:rPr>
              <w:t xml:space="preserve">1.0</w:t>
            </w:r>
          </w:p>
        </w:tc>
        <w:tc>
          <w:tcPr>
            <w:tcW w:type="dxa" w:w="1400"/>
            <w:tcMar>
              <w:top w:type="dxa" w:w="80"/>
              <w:left w:type="dxa" w:w="100"/>
              <w:bottom w:type="dxa" w:w="80"/>
              <w:right w:type="dxa" w:w="100"/>
            </w:tcMar>
            <w:vAlign w:val="center"/>
          </w:tcPr>
          <w:p>
            <w:pPr>
              <w:jc w:val="left"/>
            </w:pPr>
            <w:r>
              <w:rPr>
                <w:b w:val="false"/>
                <w:bCs w:val="false"/>
                <w:color w:val="000000"/>
              </w:rPr>
              <w:t xml:space="preserve">2026-08-02</w:t>
            </w:r>
          </w:p>
        </w:tc>
        <w:tc>
          <w:tcPr>
            <w:tcW w:type="dxa" w:w="2550"/>
            <w:tcMar>
              <w:top w:type="dxa" w:w="80"/>
              <w:left w:type="dxa" w:w="100"/>
              <w:bottom w:type="dxa" w:w="80"/>
              <w:right w:type="dxa" w:w="100"/>
            </w:tcMar>
            <w:vAlign w:val="center"/>
          </w:tcPr>
          <w:p>
            <w:pPr>
              <w:jc w:val="left"/>
            </w:pPr>
            <w:r>
              <w:rPr>
                <w:b w:val="false"/>
                <w:bCs w:val="false"/>
                <w:color w:val="000000"/>
              </w:rPr>
              <w:t xml:space="preserve">Head of Platform Engineering</w:t>
            </w:r>
          </w:p>
        </w:tc>
        <w:tc>
          <w:tcPr>
            <w:tcW w:type="dxa" w:w="4000"/>
            <w:tcMar>
              <w:top w:type="dxa" w:w="80"/>
              <w:left w:type="dxa" w:w="100"/>
              <w:bottom w:type="dxa" w:w="80"/>
              <w:right w:type="dxa" w:w="100"/>
            </w:tcMar>
            <w:vAlign w:val="center"/>
          </w:tcPr>
          <w:p>
            <w:pPr>
              <w:jc w:val="left"/>
            </w:pPr>
            <w:r>
              <w:rPr>
                <w:b w:val="false"/>
                <w:bCs w:val="false"/>
                <w:color w:val="000000"/>
              </w:rPr>
              <w:t xml:space="preserve">Aprobación formal. Versión vigente publicada en el repositorio corporativo de plataforma.</w:t>
            </w:r>
          </w:p>
        </w:tc>
      </w:tr>
    </w:tbl>
    <w:p>
      <w:pPr>
        <w:pStyle w:val="Heading1"/>
        <w:pageBreakBefore/>
        <w:spacing w:after="240" w:before="480"/>
      </w:pPr>
      <w:r>
        <w:rPr>
          <w:b/>
          <w:bCs/>
        </w:rPr>
        <w:t xml:space="preserve">2. Visión General de la Instancia / Grupo Corporativo de GitLab Ultimate</w:t>
      </w:r>
    </w:p>
    <w:p>
      <w:pPr>
        <w:spacing w:after="200" w:line="276"/>
      </w:pPr>
      <w:r>
        <w:t xml:space="preserve">La organización opera una única instancia SaaS de GitLab Ultimate (gitlab.com) bajo un grupo raíz corporativo, en lugar de una instancia autoalojada, priorizando el menor esfuerzo operativo y las actualizaciones automáticas de seguridad del proveedor.</w:t>
      </w:r>
    </w:p>
    <w:p>
      <w:pPr>
        <w:pStyle w:val="ListParagraph"/>
        <w:numPr>
          <w:ilvl w:val="0"/>
          <w:numId w:val="2"/>
        </w:numPr>
        <w:spacing w:after="120"/>
      </w:pPr>
      <w:r>
        <w:t xml:space="preserve">Todo el código fuente, pipelines, registro de artefactos y gestión de proyectos de la organización reside dentro del grupo raíz único, sin excepciones ni instancias paralelas no gobernadas.</w:t>
      </w:r>
    </w:p>
    <w:p>
      <w:pPr>
        <w:pStyle w:val="ListParagraph"/>
        <w:numPr>
          <w:ilvl w:val="0"/>
          <w:numId w:val="2"/>
        </w:numPr>
        <w:spacing w:after="120"/>
      </w:pPr>
      <w:r>
        <w:t xml:space="preserve">La licencia Ultimate habilita las capacidades de seguridad (SAST, DAST, Dependency Scanning, Secret Detection), gobierno (Compliance Pipelines) y planificación de portafolio utilizadas en GOB-001 y SEC-001.</w:t>
      </w:r>
    </w:p>
    <w:p>
      <w:pPr>
        <w:pStyle w:val="ListParagraph"/>
        <w:numPr>
          <w:ilvl w:val="0"/>
          <w:numId w:val="2"/>
        </w:numPr>
        <w:spacing w:after="120"/>
      </w:pPr>
      <w:r>
        <w:t xml:space="preserve">El acceso administrativo a la configuración de instancia se limita al rol de Administrador de Plataforma definido en IAM-001, sujeto a los controles PAM del capítulo 6 de dicho documento.</w:t>
      </w:r>
    </w:p>
    <w:p>
      <w:pPr>
        <w:pStyle w:val="ListParagraph"/>
        <w:numPr>
          <w:ilvl w:val="0"/>
          <w:numId w:val="2"/>
        </w:numPr>
        <w:spacing w:after="120"/>
      </w:pPr>
      <w:r>
        <w:t xml:space="preserve">La disponibilidad de la instancia SaaS está cubierta por el SLA del proveedor; la estrategia de continuidad complementaria de la organización se detalla en el capítulo 7.</w:t>
      </w:r>
    </w:p>
    <w:p>
      <w:pPr>
        <w:pStyle w:val="Heading1"/>
        <w:pageBreakBefore/>
        <w:spacing w:after="240" w:before="480"/>
      </w:pPr>
      <w:r>
        <w:rPr>
          <w:b/>
          <w:bCs/>
        </w:rPr>
        <w:t xml:space="preserve">3. Estructura Jerárquica de Grupos y Subgrupos</w:t>
      </w:r>
    </w:p>
    <w:p>
      <w:pPr>
        <w:spacing w:after="200" w:line="276"/>
      </w:pPr>
      <w:r>
        <w:t xml:space="preserve">La organización de grupos y proyectos refleja la estructura de dominios de negocio definida en ARC-001, facilitando la aplicación de políticas heredadas y la trazabilidad de propiedad.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150"/>
        <w:gridCol w:w="4100"/>
      </w:tblGrid>
      <w:tr>
        <w:trPr>
          <w:tblHeader/>
        </w:trPr>
        <w:tc>
          <w:tcPr>
            <w:tcW w:type="dxa" w:w="2100"/>
            <w:shd w:fill="1F3864" w:val="clear"/>
            <w:tcMar>
              <w:top w:type="dxa" w:w="80"/>
              <w:left w:type="dxa" w:w="100"/>
              <w:bottom w:type="dxa" w:w="80"/>
              <w:right w:type="dxa" w:w="100"/>
            </w:tcMar>
            <w:vAlign w:val="center"/>
          </w:tcPr>
          <w:p>
            <w:pPr>
              <w:jc w:val="left"/>
            </w:pPr>
            <w:r>
              <w:rPr>
                <w:b/>
                <w:bCs/>
                <w:color w:val="FFFFFF"/>
              </w:rPr>
              <w:t xml:space="preserve">Nivel</w:t>
            </w:r>
          </w:p>
        </w:tc>
        <w:tc>
          <w:tcPr>
            <w:tcW w:type="dxa" w:w="3150"/>
            <w:shd w:fill="1F3864" w:val="clear"/>
            <w:tcMar>
              <w:top w:type="dxa" w:w="80"/>
              <w:left w:type="dxa" w:w="100"/>
              <w:bottom w:type="dxa" w:w="80"/>
              <w:right w:type="dxa" w:w="100"/>
            </w:tcMar>
            <w:vAlign w:val="center"/>
          </w:tcPr>
          <w:p>
            <w:pPr>
              <w:jc w:val="left"/>
            </w:pPr>
            <w:r>
              <w:rPr>
                <w:b/>
                <w:bCs/>
                <w:color w:val="FFFFFF"/>
              </w:rPr>
              <w:t xml:space="preserve">Ejemplo</w:t>
            </w:r>
          </w:p>
        </w:tc>
        <w:tc>
          <w:tcPr>
            <w:tcW w:type="dxa" w:w="4100"/>
            <w:shd w:fill="1F3864" w:val="clear"/>
            <w:tcMar>
              <w:top w:type="dxa" w:w="80"/>
              <w:left w:type="dxa" w:w="100"/>
              <w:bottom w:type="dxa" w:w="80"/>
              <w:right w:type="dxa" w:w="100"/>
            </w:tcMar>
            <w:vAlign w:val="center"/>
          </w:tcPr>
          <w:p>
            <w:pPr>
              <w:jc w:val="left"/>
            </w:pPr>
            <w:r>
              <w:rPr>
                <w:b/>
                <w:bCs/>
                <w:color w:val="FFFFFF"/>
              </w:rPr>
              <w:t xml:space="preserve">Propósito</w:t>
            </w:r>
          </w:p>
        </w:tc>
      </w:tr>
      <w:tr>
        <w:tc>
          <w:tcPr>
            <w:tcW w:type="dxa" w:w="2100"/>
            <w:shd w:fill="FFFFFF" w:val="clear"/>
            <w:tcMar>
              <w:top w:type="dxa" w:w="80"/>
              <w:left w:type="dxa" w:w="100"/>
              <w:bottom w:type="dxa" w:w="80"/>
              <w:right w:type="dxa" w:w="100"/>
            </w:tcMar>
            <w:vAlign w:val="center"/>
          </w:tcPr>
          <w:p>
            <w:pPr>
              <w:jc w:val="left"/>
            </w:pPr>
            <w:r>
              <w:rPr>
                <w:b w:val="false"/>
                <w:bCs w:val="false"/>
                <w:color w:val="000000"/>
              </w:rPr>
              <w:t xml:space="preserve">Grupo raíz</w:t>
            </w:r>
          </w:p>
        </w:tc>
        <w:tc>
          <w:tcPr>
            <w:tcW w:type="dxa" w:w="3150"/>
            <w:shd w:fill="FFFFFF" w:val="clear"/>
            <w:tcMar>
              <w:top w:type="dxa" w:w="80"/>
              <w:left w:type="dxa" w:w="100"/>
              <w:bottom w:type="dxa" w:w="80"/>
              <w:right w:type="dxa" w:w="100"/>
            </w:tcMar>
            <w:vAlign w:val="center"/>
          </w:tcPr>
          <w:p>
            <w:pPr>
              <w:jc w:val="left"/>
            </w:pPr>
            <w:r>
              <w:rPr>
                <w:b w:val="false"/>
                <w:bCs w:val="false"/>
                <w:color w:val="000000"/>
              </w:rPr>
              <w:t xml:space="preserve">empresa</w:t>
            </w:r>
          </w:p>
        </w:tc>
        <w:tc>
          <w:tcPr>
            <w:tcW w:type="dxa" w:w="4100"/>
            <w:shd w:fill="FFFFFF" w:val="clear"/>
            <w:tcMar>
              <w:top w:type="dxa" w:w="80"/>
              <w:left w:type="dxa" w:w="100"/>
              <w:bottom w:type="dxa" w:w="80"/>
              <w:right w:type="dxa" w:w="100"/>
            </w:tcMar>
            <w:vAlign w:val="center"/>
          </w:tcPr>
          <w:p>
            <w:pPr>
              <w:jc w:val="left"/>
            </w:pPr>
            <w:r>
              <w:rPr>
                <w:b w:val="false"/>
                <w:bCs w:val="false"/>
                <w:color w:val="000000"/>
              </w:rPr>
              <w:t xml:space="preserve">Contenedor único de toda la organización; define políticas globales (SSO, IP allowlist, retención).</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rPr>
              <w:t xml:space="preserve">Subgrupo de dominio</w:t>
            </w:r>
          </w:p>
        </w:tc>
        <w:tc>
          <w:tcPr>
            <w:tcW w:type="dxa" w:w="3150"/>
            <w:shd w:fill="F2F2F2" w:val="clear"/>
            <w:tcMar>
              <w:top w:type="dxa" w:w="80"/>
              <w:left w:type="dxa" w:w="100"/>
              <w:bottom w:type="dxa" w:w="80"/>
              <w:right w:type="dxa" w:w="100"/>
            </w:tcMar>
            <w:vAlign w:val="center"/>
          </w:tcPr>
          <w:p>
            <w:pPr>
              <w:jc w:val="left"/>
            </w:pPr>
            <w:r>
              <w:rPr>
                <w:b w:val="false"/>
                <w:bCs w:val="false"/>
                <w:color w:val="000000"/>
              </w:rPr>
              <w:t xml:space="preserve">empresa/pagos</w:t>
            </w:r>
          </w:p>
        </w:tc>
        <w:tc>
          <w:tcPr>
            <w:tcW w:type="dxa" w:w="4100"/>
            <w:shd w:fill="F2F2F2" w:val="clear"/>
            <w:tcMar>
              <w:top w:type="dxa" w:w="80"/>
              <w:left w:type="dxa" w:w="100"/>
              <w:bottom w:type="dxa" w:w="80"/>
              <w:right w:type="dxa" w:w="100"/>
            </w:tcMar>
            <w:vAlign w:val="center"/>
          </w:tcPr>
          <w:p>
            <w:pPr>
              <w:jc w:val="left"/>
            </w:pPr>
            <w:r>
              <w:rPr>
                <w:b w:val="false"/>
                <w:bCs w:val="false"/>
                <w:color w:val="000000"/>
              </w:rPr>
              <w:t xml:space="preserve">Agrupa todos los proyectos de un dominio de negocio, alineado a ARC-001 (Domain Data Ownership).</w:t>
            </w:r>
          </w:p>
        </w:tc>
      </w:tr>
      <w:tr>
        <w:tc>
          <w:tcPr>
            <w:tcW w:type="dxa" w:w="2100"/>
            <w:shd w:fill="FFFFFF" w:val="clear"/>
            <w:tcMar>
              <w:top w:type="dxa" w:w="80"/>
              <w:left w:type="dxa" w:w="100"/>
              <w:bottom w:type="dxa" w:w="80"/>
              <w:right w:type="dxa" w:w="100"/>
            </w:tcMar>
            <w:vAlign w:val="center"/>
          </w:tcPr>
          <w:p>
            <w:pPr>
              <w:jc w:val="left"/>
            </w:pPr>
            <w:r>
              <w:rPr>
                <w:b w:val="false"/>
                <w:bCs w:val="false"/>
                <w:color w:val="000000"/>
              </w:rPr>
              <w:t xml:space="preserve">Subgrupo de tipo</w:t>
            </w:r>
          </w:p>
        </w:tc>
        <w:tc>
          <w:tcPr>
            <w:tcW w:type="dxa" w:w="3150"/>
            <w:shd w:fill="FFFFFF" w:val="clear"/>
            <w:tcMar>
              <w:top w:type="dxa" w:w="80"/>
              <w:left w:type="dxa" w:w="100"/>
              <w:bottom w:type="dxa" w:w="80"/>
              <w:right w:type="dxa" w:w="100"/>
            </w:tcMar>
            <w:vAlign w:val="center"/>
          </w:tcPr>
          <w:p>
            <w:pPr>
              <w:jc w:val="left"/>
            </w:pPr>
            <w:r>
              <w:rPr>
                <w:b w:val="false"/>
                <w:bCs w:val="false"/>
                <w:color w:val="000000"/>
              </w:rPr>
              <w:t xml:space="preserve">empresa/pagos/servicios</w:t>
            </w:r>
          </w:p>
        </w:tc>
        <w:tc>
          <w:tcPr>
            <w:tcW w:type="dxa" w:w="4100"/>
            <w:shd w:fill="FFFFFF" w:val="clear"/>
            <w:tcMar>
              <w:top w:type="dxa" w:w="80"/>
              <w:left w:type="dxa" w:w="100"/>
              <w:bottom w:type="dxa" w:w="80"/>
              <w:right w:type="dxa" w:w="100"/>
            </w:tcMar>
            <w:vAlign w:val="center"/>
          </w:tcPr>
          <w:p>
            <w:pPr>
              <w:jc w:val="left"/>
            </w:pPr>
            <w:r>
              <w:rPr>
                <w:b w:val="false"/>
                <w:bCs w:val="false"/>
                <w:color w:val="000000"/>
              </w:rPr>
              <w:t xml:space="preserve">Separa servicios de aplicación, librerías compartidas e infraestructura dentro del dominio.</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rPr>
              <w:t xml:space="preserve">Proyecto</w:t>
            </w:r>
          </w:p>
        </w:tc>
        <w:tc>
          <w:tcPr>
            <w:tcW w:type="dxa" w:w="3150"/>
            <w:shd w:fill="F2F2F2" w:val="clear"/>
            <w:tcMar>
              <w:top w:type="dxa" w:w="80"/>
              <w:left w:type="dxa" w:w="100"/>
              <w:bottom w:type="dxa" w:w="80"/>
              <w:right w:type="dxa" w:w="100"/>
            </w:tcMar>
            <w:vAlign w:val="center"/>
          </w:tcPr>
          <w:p>
            <w:pPr>
              <w:jc w:val="left"/>
            </w:pPr>
            <w:r>
              <w:rPr>
                <w:b w:val="false"/>
                <w:bCs w:val="false"/>
                <w:color w:val="000000"/>
              </w:rPr>
              <w:t xml:space="preserve">empresa/pagos/servicios/pagos-api</w:t>
            </w:r>
          </w:p>
        </w:tc>
        <w:tc>
          <w:tcPr>
            <w:tcW w:type="dxa" w:w="4100"/>
            <w:shd w:fill="F2F2F2" w:val="clear"/>
            <w:tcMar>
              <w:top w:type="dxa" w:w="80"/>
              <w:left w:type="dxa" w:w="100"/>
              <w:bottom w:type="dxa" w:w="80"/>
              <w:right w:type="dxa" w:w="100"/>
            </w:tcMar>
            <w:vAlign w:val="center"/>
          </w:tcPr>
          <w:p>
            <w:pPr>
              <w:jc w:val="left"/>
            </w:pPr>
            <w:r>
              <w:rPr>
                <w:b w:val="false"/>
                <w:bCs w:val="false"/>
                <w:color w:val="000000"/>
              </w:rPr>
              <w:t xml:space="preserve">Repositorio individual de código fuente, con su propio pipeline y configuración de protección.</w:t>
            </w:r>
          </w:p>
        </w:tc>
      </w:tr>
    </w:tbl>
    <w:p>
      <w:pPr>
        <w:pStyle w:val="Heading2"/>
        <w:spacing w:after="180" w:before="360"/>
      </w:pPr>
      <w:r>
        <w:rPr>
          <w:b/>
          <w:bCs/>
        </w:rPr>
        <w:t xml:space="preserve">3.1. Taxonomía de Proyectos y Convención de Nombres</w:t>
      </w:r>
    </w:p>
    <w:p>
      <w:pPr>
        <w:spacing w:after="200" w:line="276"/>
      </w:pPr>
      <w:r>
        <w:t xml:space="preserve">Todo proyecto sigue una convención de nombrado predecible que permite identificar su dominio, tipo y propósito sin necesidad de abrir el repositorio: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300"/>
        <w:gridCol w:w="3400"/>
      </w:tblGrid>
      <w:tr>
        <w:trPr>
          <w:tblHeader/>
        </w:trPr>
        <w:tc>
          <w:tcPr>
            <w:tcW w:type="dxa" w:w="2650"/>
            <w:shd w:fill="1F3864" w:val="clear"/>
            <w:tcMar>
              <w:top w:type="dxa" w:w="80"/>
              <w:left w:type="dxa" w:w="100"/>
              <w:bottom w:type="dxa" w:w="80"/>
              <w:right w:type="dxa" w:w="100"/>
            </w:tcMar>
            <w:vAlign w:val="center"/>
          </w:tcPr>
          <w:p>
            <w:pPr>
              <w:jc w:val="left"/>
            </w:pPr>
            <w:r>
              <w:rPr>
                <w:b/>
                <w:bCs/>
                <w:color w:val="FFFFFF"/>
              </w:rPr>
              <w:t xml:space="preserve">Elemento</w:t>
            </w:r>
          </w:p>
        </w:tc>
        <w:tc>
          <w:tcPr>
            <w:tcW w:type="dxa" w:w="3300"/>
            <w:shd w:fill="1F3864" w:val="clear"/>
            <w:tcMar>
              <w:top w:type="dxa" w:w="80"/>
              <w:left w:type="dxa" w:w="100"/>
              <w:bottom w:type="dxa" w:w="80"/>
              <w:right w:type="dxa" w:w="100"/>
            </w:tcMar>
            <w:vAlign w:val="center"/>
          </w:tcPr>
          <w:p>
            <w:pPr>
              <w:jc w:val="left"/>
            </w:pPr>
            <w:r>
              <w:rPr>
                <w:b/>
                <w:bCs/>
                <w:color w:val="FFFFFF"/>
              </w:rPr>
              <w:t xml:space="preserve">Convención</w:t>
            </w:r>
          </w:p>
        </w:tc>
        <w:tc>
          <w:tcPr>
            <w:tcW w:type="dxa" w:w="3400"/>
            <w:shd w:fill="1F3864" w:val="clear"/>
            <w:tcMar>
              <w:top w:type="dxa" w:w="80"/>
              <w:left w:type="dxa" w:w="100"/>
              <w:bottom w:type="dxa" w:w="80"/>
              <w:right w:type="dxa" w:w="100"/>
            </w:tcMar>
            <w:vAlign w:val="center"/>
          </w:tcPr>
          <w:p>
            <w:pPr>
              <w:jc w:val="left"/>
            </w:pPr>
            <w:r>
              <w:rPr>
                <w:b/>
                <w:bCs/>
                <w:color w:val="FFFFFF"/>
              </w:rPr>
              <w:t xml:space="preserve">Ejemplo</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Subgrupo de dominio</w:t>
            </w:r>
          </w:p>
        </w:tc>
        <w:tc>
          <w:tcPr>
            <w:tcW w:type="dxa" w:w="3300"/>
            <w:shd w:fill="FFFFFF" w:val="clear"/>
            <w:tcMar>
              <w:top w:type="dxa" w:w="80"/>
              <w:left w:type="dxa" w:w="100"/>
              <w:bottom w:type="dxa" w:w="80"/>
              <w:right w:type="dxa" w:w="100"/>
            </w:tcMar>
            <w:vAlign w:val="center"/>
          </w:tcPr>
          <w:p>
            <w:pPr>
              <w:jc w:val="left"/>
            </w:pPr>
            <w:r>
              <w:rPr>
                <w:b w:val="false"/>
                <w:bCs w:val="false"/>
                <w:color w:val="000000"/>
              </w:rPr>
              <w:t xml:space="preserve">kebab-case, nombre del dominio de negocio.</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pagos, identidad, catalogo</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Proyecto de servicio</w:t>
            </w:r>
          </w:p>
        </w:tc>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&lt;dominio&gt;-&lt;capa&gt;-&lt;nombre&gt;</w:t>
            </w:r>
          </w:p>
        </w:tc>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pagos-api-checkout</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Proyecto de infraestructura</w:t>
            </w:r>
          </w:p>
        </w:tc>
        <w:tc>
          <w:tcPr>
            <w:tcW w:type="dxa" w:w="3300"/>
            <w:shd w:fill="FFFFFF" w:val="clear"/>
            <w:tcMar>
              <w:top w:type="dxa" w:w="80"/>
              <w:left w:type="dxa" w:w="100"/>
              <w:bottom w:type="dxa" w:w="80"/>
              <w:right w:type="dxa" w:w="100"/>
            </w:tcMar>
            <w:vAlign w:val="center"/>
          </w:tcPr>
          <w:p>
            <w:pPr>
              <w:jc w:val="left"/>
            </w:pPr>
            <w:r>
              <w:rPr>
                <w:b w:val="false"/>
                <w:bCs w:val="false"/>
                <w:color w:val="000000"/>
              </w:rPr>
              <w:t xml:space="preserve">infra-&lt;dominio&gt;-&lt;recurso&gt;</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infra-pagos-terraform</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Proyecto de librería compartida</w:t>
            </w:r>
          </w:p>
        </w:tc>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lib-&lt;lenguaje&gt;-&lt;propósito&gt;</w:t>
            </w:r>
          </w:p>
        </w:tc>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lib-java-logging-commons</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Rama principal</w:t>
            </w:r>
          </w:p>
        </w:tc>
        <w:tc>
          <w:tcPr>
            <w:tcW w:type="dxa" w:w="3300"/>
            <w:shd w:fill="FFFFFF" w:val="clear"/>
            <w:tcMar>
              <w:top w:type="dxa" w:w="80"/>
              <w:left w:type="dxa" w:w="100"/>
              <w:bottom w:type="dxa" w:w="80"/>
              <w:right w:type="dxa" w:w="100"/>
            </w:tcMar>
            <w:vAlign w:val="center"/>
          </w:tcPr>
          <w:p>
            <w:pPr>
              <w:jc w:val="left"/>
            </w:pPr>
            <w:r>
              <w:rPr>
                <w:b w:val="false"/>
                <w:bCs w:val="false"/>
                <w:color w:val="000000"/>
              </w:rPr>
              <w:t xml:space="preserve">main (obligatorio; se elimina el uso de master)</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main</w:t>
            </w:r>
          </w:p>
        </w:tc>
      </w:tr>
    </w:tbl>
    <w:p>
      <w:pPr>
        <w:pStyle w:val="Heading2"/>
        <w:spacing w:after="180" w:before="360"/>
      </w:pPr>
      <w:r>
        <w:rPr>
          <w:b/>
          <w:bCs/>
        </w:rPr>
        <w:t xml:space="preserve">3.2. Configuración de Visibilidad y Permisos Base de Grupo</w:t>
      </w:r>
    </w:p>
    <w:p>
      <w:pPr>
        <w:spacing w:after="200" w:line="276"/>
      </w:pPr>
      <w:r>
        <w:t xml:space="preserve">La visibilidad y los permisos base se configuran a nivel del grupo raíz y se heredan hacia abajo, evitando configuraciones inconsistentes entre proyectos: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50"/>
      </w:tblGrid>
      <w:tr>
        <w:trPr>
          <w:tblHeader/>
        </w:trPr>
        <w:tc>
          <w:tcPr>
            <w:tcW w:type="dxa" w:w="2700"/>
            <w:shd w:fill="1F3864" w:val="clear"/>
            <w:tcMar>
              <w:top w:type="dxa" w:w="80"/>
              <w:left w:type="dxa" w:w="100"/>
              <w:bottom w:type="dxa" w:w="80"/>
              <w:right w:type="dxa" w:w="100"/>
            </w:tcMar>
            <w:vAlign w:val="center"/>
          </w:tcPr>
          <w:p>
            <w:pPr>
              <w:jc w:val="left"/>
            </w:pPr>
            <w:r>
              <w:rPr>
                <w:b/>
                <w:bCs/>
                <w:color w:val="FFFFFF"/>
              </w:rPr>
              <w:t xml:space="preserve">Configuración</w:t>
            </w:r>
          </w:p>
        </w:tc>
        <w:tc>
          <w:tcPr>
            <w:tcW w:type="dxa" w:w="2900"/>
            <w:shd w:fill="1F3864" w:val="clear"/>
            <w:tcMar>
              <w:top w:type="dxa" w:w="80"/>
              <w:left w:type="dxa" w:w="100"/>
              <w:bottom w:type="dxa" w:w="80"/>
              <w:right w:type="dxa" w:w="100"/>
            </w:tcMar>
            <w:vAlign w:val="center"/>
          </w:tcPr>
          <w:p>
            <w:pPr>
              <w:jc w:val="left"/>
            </w:pPr>
            <w:r>
              <w:rPr>
                <w:b/>
                <w:bCs/>
                <w:color w:val="FFFFFF"/>
              </w:rPr>
              <w:t xml:space="preserve">Valor por Defecto Corporativo</w:t>
            </w:r>
          </w:p>
        </w:tc>
        <w:tc>
          <w:tcPr>
            <w:tcW w:type="dxa" w:w="3750"/>
            <w:shd w:fill="1F3864" w:val="clear"/>
            <w:tcMar>
              <w:top w:type="dxa" w:w="80"/>
              <w:left w:type="dxa" w:w="100"/>
              <w:bottom w:type="dxa" w:w="80"/>
              <w:right w:type="dxa" w:w="100"/>
            </w:tcMar>
            <w:vAlign w:val="center"/>
          </w:tcPr>
          <w:p>
            <w:pPr>
              <w:jc w:val="left"/>
            </w:pPr>
            <w:r>
              <w:rPr>
                <w:b/>
                <w:bCs/>
                <w:color w:val="FFFFFF"/>
              </w:rPr>
              <w:t xml:space="preserve">Justificación</w:t>
            </w:r>
          </w:p>
        </w:tc>
      </w:tr>
      <w:tr>
        <w:tc>
          <w:tcPr>
            <w:tcW w:type="dxa" w:w="2700"/>
            <w:shd w:fill="FFFFFF" w:val="clear"/>
            <w:tcMar>
              <w:top w:type="dxa" w:w="80"/>
              <w:left w:type="dxa" w:w="100"/>
              <w:bottom w:type="dxa" w:w="80"/>
              <w:right w:type="dxa" w:w="100"/>
            </w:tcMar>
            <w:vAlign w:val="center"/>
          </w:tcPr>
          <w:p>
            <w:pPr>
              <w:jc w:val="left"/>
            </w:pPr>
            <w:r>
              <w:rPr>
                <w:b w:val="false"/>
                <w:bCs w:val="false"/>
                <w:color w:val="000000"/>
              </w:rPr>
              <w:t xml:space="preserve">Visibilidad del grupo raíz</w:t>
            </w:r>
          </w:p>
        </w:tc>
        <w:tc>
          <w:tcPr>
            <w:tcW w:type="dxa" w:w="2900"/>
            <w:shd w:fill="FFFFFF" w:val="clear"/>
            <w:tcMar>
              <w:top w:type="dxa" w:w="80"/>
              <w:left w:type="dxa" w:w="100"/>
              <w:bottom w:type="dxa" w:w="80"/>
              <w:right w:type="dxa" w:w="100"/>
            </w:tcMar>
            <w:vAlign w:val="center"/>
          </w:tcPr>
          <w:p>
            <w:pPr>
              <w:jc w:val="left"/>
            </w:pPr>
            <w:r>
              <w:rPr>
                <w:b w:val="false"/>
                <w:bCs w:val="false"/>
                <w:color w:val="000000"/>
              </w:rPr>
              <w:t xml:space="preserve">Privado</w:t>
            </w:r>
          </w:p>
        </w:tc>
        <w:tc>
          <w:tcPr>
            <w:tcW w:type="dxa" w:w="3750"/>
            <w:shd w:fill="FFFFFF" w:val="clear"/>
            <w:tcMar>
              <w:top w:type="dxa" w:w="80"/>
              <w:left w:type="dxa" w:w="100"/>
              <w:bottom w:type="dxa" w:w="80"/>
              <w:right w:type="dxa" w:w="100"/>
            </w:tcMar>
            <w:vAlign w:val="center"/>
          </w:tcPr>
          <w:p>
            <w:pPr>
              <w:jc w:val="left"/>
            </w:pPr>
            <w:r>
              <w:rPr>
                <w:b w:val="false"/>
                <w:bCs w:val="false"/>
                <w:color w:val="000000"/>
              </w:rPr>
              <w:t xml:space="preserve">Ningún proyecto es público por defecto; la exposición externa requiere excepción aprobada por Seguridad.</w:t>
            </w:r>
          </w:p>
        </w:tc>
      </w:tr>
      <w:tr>
        <w:tc>
          <w:tcPr>
            <w:tcW w:type="dxa" w:w="2700"/>
            <w:shd w:fill="F2F2F2" w:val="clear"/>
            <w:tcMar>
              <w:top w:type="dxa" w:w="80"/>
              <w:left w:type="dxa" w:w="100"/>
              <w:bottom w:type="dxa" w:w="80"/>
              <w:right w:type="dxa" w:w="100"/>
            </w:tcMar>
            <w:vAlign w:val="center"/>
          </w:tcPr>
          <w:p>
            <w:pPr>
              <w:jc w:val="left"/>
            </w:pPr>
            <w:r>
              <w:rPr>
                <w:b w:val="false"/>
                <w:bCs w:val="false"/>
                <w:color w:val="000000"/>
              </w:rPr>
              <w:t xml:space="preserve">Visibilidad de subgrupos y proyectos</w:t>
            </w:r>
          </w:p>
        </w:tc>
        <w:tc>
          <w:tcPr>
            <w:tcW w:type="dxa" w:w="2900"/>
            <w:shd w:fill="F2F2F2" w:val="clear"/>
            <w:tcMar>
              <w:top w:type="dxa" w:w="80"/>
              <w:left w:type="dxa" w:w="100"/>
              <w:bottom w:type="dxa" w:w="80"/>
              <w:right w:type="dxa" w:w="100"/>
            </w:tcMar>
            <w:vAlign w:val="center"/>
          </w:tcPr>
          <w:p>
            <w:pPr>
              <w:jc w:val="left"/>
            </w:pPr>
            <w:r>
              <w:rPr>
                <w:b w:val="false"/>
                <w:bCs w:val="false"/>
                <w:color w:val="000000"/>
              </w:rPr>
              <w:t xml:space="preserve">Heredada del grupo raíz (Privado)</w:t>
            </w:r>
          </w:p>
        </w:tc>
        <w:tc>
          <w:tcPr>
            <w:tcW w:type="dxa" w:w="3750"/>
            <w:shd w:fill="F2F2F2" w:val="clear"/>
            <w:tcMar>
              <w:top w:type="dxa" w:w="80"/>
              <w:left w:type="dxa" w:w="100"/>
              <w:bottom w:type="dxa" w:w="80"/>
              <w:right w:type="dxa" w:w="100"/>
            </w:tcMar>
            <w:vAlign w:val="center"/>
          </w:tcPr>
          <w:p>
            <w:pPr>
              <w:jc w:val="left"/>
            </w:pPr>
            <w:r>
              <w:rPr>
                <w:b w:val="false"/>
                <w:bCs w:val="false"/>
                <w:color w:val="000000"/>
              </w:rPr>
              <w:t xml:space="preserve">Evita la exposición accidental al crear un nuevo proyecto.</w:t>
            </w:r>
          </w:p>
        </w:tc>
      </w:tr>
      <w:tr>
        <w:tc>
          <w:tcPr>
            <w:tcW w:type="dxa" w:w="2700"/>
            <w:shd w:fill="FFFFFF" w:val="clear"/>
            <w:tcMar>
              <w:top w:type="dxa" w:w="80"/>
              <w:left w:type="dxa" w:w="100"/>
              <w:bottom w:type="dxa" w:w="80"/>
              <w:right w:type="dxa" w:w="100"/>
            </w:tcMar>
            <w:vAlign w:val="center"/>
          </w:tcPr>
          <w:p>
            <w:pPr>
              <w:jc w:val="left"/>
            </w:pPr>
            <w:r>
              <w:rPr>
                <w:b w:val="false"/>
                <w:bCs w:val="false"/>
                <w:color w:val="000000"/>
              </w:rPr>
              <w:t xml:space="preserve">Solicitudes de acceso a proyecto</w:t>
            </w:r>
          </w:p>
        </w:tc>
        <w:tc>
          <w:tcPr>
            <w:tcW w:type="dxa" w:w="2900"/>
            <w:shd w:fill="FFFFFF" w:val="clear"/>
            <w:tcMar>
              <w:top w:type="dxa" w:w="80"/>
              <w:left w:type="dxa" w:w="100"/>
              <w:bottom w:type="dxa" w:w="80"/>
              <w:right w:type="dxa" w:w="100"/>
            </w:tcMar>
            <w:vAlign w:val="center"/>
          </w:tcPr>
          <w:p>
            <w:pPr>
              <w:jc w:val="left"/>
            </w:pPr>
            <w:r>
              <w:rPr>
                <w:b w:val="false"/>
                <w:bCs w:val="false"/>
                <w:color w:val="000000"/>
              </w:rPr>
              <w:t xml:space="preserve">Deshabilitadas</w:t>
            </w:r>
          </w:p>
        </w:tc>
        <w:tc>
          <w:tcPr>
            <w:tcW w:type="dxa" w:w="3750"/>
            <w:shd w:fill="FFFFFF" w:val="clear"/>
            <w:tcMar>
              <w:top w:type="dxa" w:w="80"/>
              <w:left w:type="dxa" w:w="100"/>
              <w:bottom w:type="dxa" w:w="80"/>
              <w:right w:type="dxa" w:w="100"/>
            </w:tcMar>
            <w:vAlign w:val="center"/>
          </w:tcPr>
          <w:p>
            <w:pPr>
              <w:jc w:val="left"/>
            </w:pPr>
            <w:r>
              <w:rPr>
                <w:b w:val="false"/>
                <w:bCs w:val="false"/>
                <w:color w:val="000000"/>
              </w:rPr>
              <w:t xml:space="preserve">El acceso se otorga exclusivamente vía grupos SSO, conforme a IAM-001, anexo 8.1.</w:t>
            </w:r>
          </w:p>
        </w:tc>
      </w:tr>
      <w:tr>
        <w:tc>
          <w:tcPr>
            <w:tcW w:type="dxa" w:w="2700"/>
            <w:shd w:fill="F2F2F2" w:val="clear"/>
            <w:tcMar>
              <w:top w:type="dxa" w:w="80"/>
              <w:left w:type="dxa" w:w="100"/>
              <w:bottom w:type="dxa" w:w="80"/>
              <w:right w:type="dxa" w:w="100"/>
            </w:tcMar>
            <w:vAlign w:val="center"/>
          </w:tcPr>
          <w:p>
            <w:pPr>
              <w:jc w:val="left"/>
            </w:pPr>
            <w:r>
              <w:rPr>
                <w:b w:val="false"/>
                <w:bCs w:val="false"/>
                <w:color w:val="000000"/>
              </w:rPr>
              <w:t xml:space="preserve">Forks fuera del grupo corporativo</w:t>
            </w:r>
          </w:p>
        </w:tc>
        <w:tc>
          <w:tcPr>
            <w:tcW w:type="dxa" w:w="2900"/>
            <w:shd w:fill="F2F2F2" w:val="clear"/>
            <w:tcMar>
              <w:top w:type="dxa" w:w="80"/>
              <w:left w:type="dxa" w:w="100"/>
              <w:bottom w:type="dxa" w:w="80"/>
              <w:right w:type="dxa" w:w="100"/>
            </w:tcMar>
            <w:vAlign w:val="center"/>
          </w:tcPr>
          <w:p>
            <w:pPr>
              <w:jc w:val="left"/>
            </w:pPr>
            <w:r>
              <w:rPr>
                <w:b w:val="false"/>
                <w:bCs w:val="false"/>
                <w:color w:val="000000"/>
              </w:rPr>
              <w:t xml:space="preserve">Deshabilitados</w:t>
            </w:r>
          </w:p>
        </w:tc>
        <w:tc>
          <w:tcPr>
            <w:tcW w:type="dxa" w:w="3750"/>
            <w:shd w:fill="F2F2F2" w:val="clear"/>
            <w:tcMar>
              <w:top w:type="dxa" w:w="80"/>
              <w:left w:type="dxa" w:w="100"/>
              <w:bottom w:type="dxa" w:w="80"/>
              <w:right w:type="dxa" w:w="100"/>
            </w:tcMar>
            <w:vAlign w:val="center"/>
          </w:tcPr>
          <w:p>
            <w:pPr>
              <w:jc w:val="left"/>
            </w:pPr>
            <w:r>
              <w:rPr>
                <w:b w:val="false"/>
                <w:bCs w:val="false"/>
                <w:color w:val="000000"/>
              </w:rPr>
              <w:t xml:space="preserve">Previene la fuga de código fuente fuera del control de la organización.</w:t>
            </w:r>
          </w:p>
        </w:tc>
      </w:tr>
      <w:tr>
        <w:tc>
          <w:tcPr>
            <w:tcW w:type="dxa" w:w="2700"/>
            <w:shd w:fill="FFFFFF" w:val="clear"/>
            <w:tcMar>
              <w:top w:type="dxa" w:w="80"/>
              <w:left w:type="dxa" w:w="100"/>
              <w:bottom w:type="dxa" w:w="80"/>
              <w:right w:type="dxa" w:w="100"/>
            </w:tcMar>
            <w:vAlign w:val="center"/>
          </w:tcPr>
          <w:p>
            <w:pPr>
              <w:jc w:val="left"/>
            </w:pPr>
            <w:r>
              <w:rPr>
                <w:b w:val="false"/>
                <w:bCs w:val="false"/>
                <w:color w:val="000000"/>
              </w:rPr>
              <w:t xml:space="preserve">Registro de proyectos por usuarios individuales</w:t>
            </w:r>
          </w:p>
        </w:tc>
        <w:tc>
          <w:tcPr>
            <w:tcW w:type="dxa" w:w="2900"/>
            <w:shd w:fill="FFFFFF" w:val="clear"/>
            <w:tcMar>
              <w:top w:type="dxa" w:w="80"/>
              <w:left w:type="dxa" w:w="100"/>
              <w:bottom w:type="dxa" w:w="80"/>
              <w:right w:type="dxa" w:w="100"/>
            </w:tcMar>
            <w:vAlign w:val="center"/>
          </w:tcPr>
          <w:p>
            <w:pPr>
              <w:jc w:val="left"/>
            </w:pPr>
            <w:r>
              <w:rPr>
                <w:b w:val="false"/>
                <w:bCs w:val="false"/>
                <w:color w:val="000000"/>
              </w:rPr>
              <w:t xml:space="preserve">Deshabilitado a nivel de instancia</w:t>
            </w:r>
          </w:p>
        </w:tc>
        <w:tc>
          <w:tcPr>
            <w:tcW w:type="dxa" w:w="3750"/>
            <w:shd w:fill="FFFFFF" w:val="clear"/>
            <w:tcMar>
              <w:top w:type="dxa" w:w="80"/>
              <w:left w:type="dxa" w:w="100"/>
              <w:bottom w:type="dxa" w:w="80"/>
              <w:right w:type="dxa" w:w="100"/>
            </w:tcMar>
            <w:vAlign w:val="center"/>
          </w:tcPr>
          <w:p>
            <w:pPr>
              <w:jc w:val="left"/>
            </w:pPr>
            <w:r>
              <w:rPr>
                <w:b w:val="false"/>
                <w:bCs w:val="false"/>
                <w:color w:val="000000"/>
              </w:rPr>
              <w:t xml:space="preserve">Todo proyecto se crea dentro de la jerarquía de grupos, nunca en el namespace personal de un usuario.</w:t>
            </w:r>
          </w:p>
        </w:tc>
      </w:tr>
    </w:tbl>
    <w:p>
      <w:pPr>
        <w:pStyle w:val="Heading1"/>
        <w:pageBreakBefore/>
        <w:spacing w:after="240" w:before="480"/>
      </w:pPr>
      <w:r>
        <w:rPr>
          <w:b/>
          <w:bCs/>
        </w:rPr>
        <w:t xml:space="preserve">4. Hardening y Seguridad de la Plataforma</w:t>
      </w:r>
    </w:p>
    <w:p>
      <w:pPr>
        <w:spacing w:after="200" w:line="276"/>
      </w:pPr>
      <w:r>
        <w:t xml:space="preserve">Este capítulo detalla la configuración de seguridad obligatoria de la instancia de GitLab, complementando los controles de identidad definidos en IAM-001.</w:t>
      </w:r>
    </w:p>
    <w:p>
      <w:pPr>
        <w:pStyle w:val="Heading2"/>
        <w:spacing w:after="180" w:before="360"/>
      </w:pPr>
      <w:r>
        <w:rPr>
          <w:b/>
          <w:bCs/>
        </w:rPr>
        <w:t xml:space="preserve">4.1. Políticas de Contraseñas, MFA y Control de Direcciones IP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pPr>
              <w:jc w:val="left"/>
            </w:pPr>
            <w:r>
              <w:rPr>
                <w:b/>
                <w:bCs/>
                <w:color w:val="FFFFFF"/>
              </w:rPr>
              <w:t xml:space="preserve">Control</w:t>
            </w:r>
          </w:p>
        </w:tc>
        <w:tc>
          <w:tcPr>
            <w:tcW w:type="dxa" w:w="6350"/>
            <w:shd w:fill="1F3864" w:val="clear"/>
            <w:tcMar>
              <w:top w:type="dxa" w:w="80"/>
              <w:left w:type="dxa" w:w="100"/>
              <w:bottom w:type="dxa" w:w="80"/>
              <w:right w:type="dxa" w:w="100"/>
            </w:tcMar>
            <w:vAlign w:val="center"/>
          </w:tcPr>
          <w:p>
            <w:pPr>
              <w:jc w:val="left"/>
            </w:pPr>
            <w:r>
              <w:rPr>
                <w:b/>
                <w:bCs/>
                <w:color w:val="FFFFFF"/>
              </w:rPr>
              <w:t xml:space="preserve">Configuración Obligatoria</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rPr>
              <w:t xml:space="preserve">Autenticación multi-factor (MFA)</w:t>
            </w:r>
          </w:p>
        </w:tc>
        <w:tc>
          <w:tcPr>
            <w:tcW w:type="dxa" w:w="6350"/>
            <w:shd w:fill="FFFFFF" w:val="clear"/>
            <w:tcMar>
              <w:top w:type="dxa" w:w="80"/>
              <w:left w:type="dxa" w:w="100"/>
              <w:bottom w:type="dxa" w:w="80"/>
              <w:right w:type="dxa" w:w="100"/>
            </w:tcMar>
            <w:vAlign w:val="center"/>
          </w:tcPr>
          <w:p>
            <w:pPr>
              <w:jc w:val="left"/>
            </w:pPr>
            <w:r>
              <w:rPr>
                <w:b w:val="false"/>
                <w:bCs w:val="false"/>
                <w:color w:val="000000"/>
              </w:rPr>
              <w:t xml:space="preserve">Obligatoria a nivel de grupo raíz para todos los miembros, sin posibilidad de omisión individual (ver IAM-001, sección 3.2).</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rPr>
              <w:t xml:space="preserve">Complejidad de contraseña (cuentas de servicio)</w:t>
            </w:r>
          </w:p>
        </w:tc>
        <w:tc>
          <w:tcPr>
            <w:tcW w:type="dxa" w:w="6350"/>
            <w:shd w:fill="F2F2F2" w:val="clear"/>
            <w:tcMar>
              <w:top w:type="dxa" w:w="80"/>
              <w:left w:type="dxa" w:w="100"/>
              <w:bottom w:type="dxa" w:w="80"/>
              <w:right w:type="dxa" w:w="100"/>
            </w:tcMar>
            <w:vAlign w:val="center"/>
          </w:tcPr>
          <w:p>
            <w:pPr>
              <w:jc w:val="left"/>
            </w:pPr>
            <w:r>
              <w:rPr>
                <w:b w:val="false"/>
                <w:bCs w:val="false"/>
                <w:color w:val="000000"/>
              </w:rPr>
              <w:t xml:space="preserve">Mínimo 20 caracteres aleatorios generados por el gestor de secretos; sin contraseñas humanas dado que la autenticación humana es 100 % federada.</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rPr>
              <w:t xml:space="preserve">Restricción de direcciones IP</w:t>
            </w:r>
          </w:p>
        </w:tc>
        <w:tc>
          <w:tcPr>
            <w:tcW w:type="dxa" w:w="6350"/>
            <w:shd w:fill="FFFFFF" w:val="clear"/>
            <w:tcMar>
              <w:top w:type="dxa" w:w="80"/>
              <w:left w:type="dxa" w:w="100"/>
              <w:bottom w:type="dxa" w:w="80"/>
              <w:right w:type="dxa" w:w="100"/>
            </w:tcMar>
            <w:vAlign w:val="center"/>
          </w:tcPr>
          <w:p>
            <w:pPr>
              <w:jc w:val="left"/>
            </w:pPr>
            <w:r>
              <w:rPr>
                <w:b w:val="false"/>
                <w:bCs w:val="false"/>
                <w:color w:val="000000"/>
              </w:rPr>
              <w:t xml:space="preserve">Allowlist de rangos corporativos y de los proveedores cloud homologados (ARC-001, sección 4.2) para acceso administrativo; el resto del tráfico se permite solo autenticado vía SSO.</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rPr>
              <w:t xml:space="preserve">Expiración de tokens de acceso personal</w:t>
            </w:r>
          </w:p>
        </w:tc>
        <w:tc>
          <w:tcPr>
            <w:tcW w:type="dxa" w:w="6350"/>
            <w:shd w:fill="F2F2F2" w:val="clear"/>
            <w:tcMar>
              <w:top w:type="dxa" w:w="80"/>
              <w:left w:type="dxa" w:w="100"/>
              <w:bottom w:type="dxa" w:w="80"/>
              <w:right w:type="dxa" w:w="100"/>
            </w:tcMar>
            <w:vAlign w:val="center"/>
          </w:tcPr>
          <w:p>
            <w:pPr>
              <w:jc w:val="left"/>
            </w:pPr>
            <w:r>
              <w:rPr>
                <w:b w:val="false"/>
                <w:bCs w:val="false"/>
                <w:color w:val="000000"/>
              </w:rPr>
              <w:t xml:space="preserve">Máximo 90 días; renovación manual explícita, sin tokens de vigencia indefinida.</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rPr>
              <w:t xml:space="preserve">Aprobación de nuevos dispositivos</w:t>
            </w:r>
          </w:p>
        </w:tc>
        <w:tc>
          <w:tcPr>
            <w:tcW w:type="dxa" w:w="6350"/>
            <w:shd w:fill="FFFFFF" w:val="clear"/>
            <w:tcMar>
              <w:top w:type="dxa" w:w="80"/>
              <w:left w:type="dxa" w:w="100"/>
              <w:bottom w:type="dxa" w:w="80"/>
              <w:right w:type="dxa" w:w="100"/>
            </w:tcMar>
            <w:vAlign w:val="center"/>
          </w:tcPr>
          <w:p>
            <w:pPr>
              <w:jc w:val="left"/>
            </w:pPr>
            <w:r>
              <w:rPr>
                <w:b w:val="false"/>
                <w:bCs w:val="false"/>
                <w:color w:val="000000"/>
              </w:rPr>
              <w:t xml:space="preserve">Notificación automática al usuario y a Seguridad ante inicio de sesión desde un dispositivo o ubicación no reconocida.</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rPr>
              <w:t xml:space="preserve">Registro de auditoría (Audit Events)</w:t>
            </w:r>
          </w:p>
        </w:tc>
        <w:tc>
          <w:tcPr>
            <w:tcW w:type="dxa" w:w="6350"/>
            <w:shd w:fill="F2F2F2" w:val="clear"/>
            <w:tcMar>
              <w:top w:type="dxa" w:w="80"/>
              <w:left w:type="dxa" w:w="100"/>
              <w:bottom w:type="dxa" w:w="80"/>
              <w:right w:type="dxa" w:w="100"/>
            </w:tcMar>
            <w:vAlign w:val="center"/>
          </w:tcPr>
          <w:p>
            <w:pPr>
              <w:jc w:val="left"/>
            </w:pPr>
            <w:r>
              <w:rPr>
                <w:b w:val="false"/>
                <w:bCs w:val="false"/>
                <w:color w:val="000000"/>
              </w:rPr>
              <w:t xml:space="preserve">Retención mínima de 12 meses, exportado de forma continua al sistema centralizado de logs (ver ARC-001, sección 4.3).</w:t>
            </w:r>
          </w:p>
        </w:tc>
      </w:tr>
    </w:tbl>
    <w:p>
      <w:pPr>
        <w:pStyle w:val="Heading2"/>
        <w:spacing w:after="180" w:before="360"/>
      </w:pPr>
      <w:r>
        <w:rPr>
          <w:b/>
          <w:bCs/>
        </w:rPr>
        <w:t xml:space="preserve">4.2. Protección de Ramas (Protected Branches) y Protecciones de Tags</w:t>
      </w:r>
    </w:p>
    <w:p>
      <w:pPr>
        <w:spacing w:after="200" w:line="276"/>
      </w:pPr>
      <w:r>
        <w:t xml:space="preserve">Toda rama principal y de release se protege contra modificaciones no controladas, conforme al modelo de branching de ENG-001, sección 3.1: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1F3864" w:val="clear"/>
            <w:tcMar>
              <w:top w:type="dxa" w:w="80"/>
              <w:left w:type="dxa" w:w="100"/>
              <w:bottom w:type="dxa" w:w="80"/>
              <w:right w:type="dxa" w:w="100"/>
            </w:tcMar>
            <w:vAlign w:val="center"/>
          </w:tcPr>
          <w:p>
            <w:pPr>
              <w:jc w:val="left"/>
            </w:pPr>
            <w:r>
              <w:rPr>
                <w:b/>
                <w:bCs/>
                <w:color w:val="FFFFFF"/>
              </w:rPr>
              <w:t xml:space="preserve">Regla</w:t>
            </w:r>
          </w:p>
        </w:tc>
        <w:tc>
          <w:tcPr>
            <w:tcW w:type="dxa" w:w="6850"/>
            <w:shd w:fill="1F3864" w:val="clear"/>
            <w:tcMar>
              <w:top w:type="dxa" w:w="80"/>
              <w:left w:type="dxa" w:w="100"/>
              <w:bottom w:type="dxa" w:w="80"/>
              <w:right w:type="dxa" w:w="100"/>
            </w:tcMar>
            <w:vAlign w:val="center"/>
          </w:tcPr>
          <w:p>
            <w:pPr>
              <w:jc w:val="left"/>
            </w:pPr>
            <w:r>
              <w:rPr>
                <w:b/>
                <w:bCs/>
                <w:color w:val="FFFFFF"/>
              </w:rPr>
              <w:t xml:space="preserve">Configuración</w:t>
            </w:r>
          </w:p>
        </w:tc>
      </w:tr>
      <w:tr>
        <w:tc>
          <w:tcPr>
            <w:tcW w:type="dxa" w:w="2500"/>
            <w:shd w:fill="FFFFFF" w:val="clear"/>
            <w:tcMar>
              <w:top w:type="dxa" w:w="80"/>
              <w:left w:type="dxa" w:w="100"/>
              <w:bottom w:type="dxa" w:w="80"/>
              <w:right w:type="dxa" w:w="100"/>
            </w:tcMar>
            <w:vAlign w:val="center"/>
          </w:tcPr>
          <w:p>
            <w:pPr>
              <w:jc w:val="left"/>
            </w:pPr>
            <w:r>
              <w:rPr>
                <w:b w:val="false"/>
                <w:bCs w:val="false"/>
                <w:color w:val="000000"/>
              </w:rPr>
              <w:t xml:space="preserve">Rama protegida</w:t>
            </w:r>
          </w:p>
        </w:tc>
        <w:tc>
          <w:tcPr>
            <w:tcW w:type="dxa" w:w="6850"/>
            <w:shd w:fill="FFFFFF" w:val="clear"/>
            <w:tcMar>
              <w:top w:type="dxa" w:w="80"/>
              <w:left w:type="dxa" w:w="100"/>
              <w:bottom w:type="dxa" w:w="80"/>
              <w:right w:type="dxa" w:w="100"/>
            </w:tcMar>
            <w:vAlign w:val="center"/>
          </w:tcPr>
          <w:p>
            <w:pPr>
              <w:jc w:val="left"/>
            </w:pPr>
            <w:r>
              <w:rPr>
                <w:b w:val="false"/>
                <w:bCs w:val="false"/>
                <w:color w:val="000000"/>
              </w:rPr>
              <w:t xml:space="preserve">main y ramas release/* protegidas contra push directo y force-push.</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rPr>
              <w:t xml:space="preserve">Permiso de push</w:t>
            </w:r>
          </w:p>
        </w:tc>
        <w:tc>
          <w:tcPr>
            <w:tcW w:type="dxa" w:w="6850"/>
            <w:shd w:fill="F2F2F2" w:val="clear"/>
            <w:tcMar>
              <w:top w:type="dxa" w:w="80"/>
              <w:left w:type="dxa" w:w="100"/>
              <w:bottom w:type="dxa" w:w="80"/>
              <w:right w:type="dxa" w:w="100"/>
            </w:tcMar>
            <w:vAlign w:val="center"/>
          </w:tcPr>
          <w:p>
            <w:pPr>
              <w:jc w:val="left"/>
            </w:pPr>
            <w:r>
              <w:rPr>
                <w:b w:val="false"/>
                <w:bCs w:val="false"/>
                <w:color w:val="000000"/>
              </w:rPr>
              <w:t xml:space="preserve">Nadie (No one); todo cambio ingresa exclusivamente vía Merge Request aprobado.</w:t>
            </w:r>
          </w:p>
        </w:tc>
      </w:tr>
      <w:tr>
        <w:tc>
          <w:tcPr>
            <w:tcW w:type="dxa" w:w="2500"/>
            <w:shd w:fill="FFFFFF" w:val="clear"/>
            <w:tcMar>
              <w:top w:type="dxa" w:w="80"/>
              <w:left w:type="dxa" w:w="100"/>
              <w:bottom w:type="dxa" w:w="80"/>
              <w:right w:type="dxa" w:w="100"/>
            </w:tcMar>
            <w:vAlign w:val="center"/>
          </w:tcPr>
          <w:p>
            <w:pPr>
              <w:jc w:val="left"/>
            </w:pPr>
            <w:r>
              <w:rPr>
                <w:b w:val="false"/>
                <w:bCs w:val="false"/>
                <w:color w:val="000000"/>
              </w:rPr>
              <w:t xml:space="preserve">Permiso de merge</w:t>
            </w:r>
          </w:p>
        </w:tc>
        <w:tc>
          <w:tcPr>
            <w:tcW w:type="dxa" w:w="6850"/>
            <w:shd w:fill="FFFFFF" w:val="clear"/>
            <w:tcMar>
              <w:top w:type="dxa" w:w="80"/>
              <w:left w:type="dxa" w:w="100"/>
              <w:bottom w:type="dxa" w:w="80"/>
              <w:right w:type="dxa" w:w="100"/>
            </w:tcMar>
            <w:vAlign w:val="center"/>
          </w:tcPr>
          <w:p>
            <w:pPr>
              <w:jc w:val="left"/>
            </w:pPr>
            <w:r>
              <w:rPr>
                <w:b w:val="false"/>
                <w:bCs w:val="false"/>
                <w:color w:val="000000"/>
              </w:rPr>
              <w:t xml:space="preserve">Maintainers, sujeto a las reglas de aprobación de la sección 4.3.</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rPr>
              <w:t xml:space="preserve">Protección de tags</w:t>
            </w:r>
          </w:p>
        </w:tc>
        <w:tc>
          <w:tcPr>
            <w:tcW w:type="dxa" w:w="6850"/>
            <w:shd w:fill="F2F2F2" w:val="clear"/>
            <w:tcMar>
              <w:top w:type="dxa" w:w="80"/>
              <w:left w:type="dxa" w:w="100"/>
              <w:bottom w:type="dxa" w:w="80"/>
              <w:right w:type="dxa" w:w="100"/>
            </w:tcMar>
            <w:vAlign w:val="center"/>
          </w:tcPr>
          <w:p>
            <w:pPr>
              <w:jc w:val="left"/>
            </w:pPr>
            <w:r>
              <w:rPr>
                <w:b w:val="false"/>
                <w:bCs w:val="false"/>
                <w:color w:val="000000"/>
              </w:rPr>
              <w:t xml:space="preserve">Tags v*.*.* protegidos; creación restringida al pipeline de release automatizado.</w:t>
            </w:r>
          </w:p>
        </w:tc>
      </w:tr>
      <w:tr>
        <w:tc>
          <w:tcPr>
            <w:tcW w:type="dxa" w:w="2500"/>
            <w:shd w:fill="FFFFFF" w:val="clear"/>
            <w:tcMar>
              <w:top w:type="dxa" w:w="80"/>
              <w:left w:type="dxa" w:w="100"/>
              <w:bottom w:type="dxa" w:w="80"/>
              <w:right w:type="dxa" w:w="100"/>
            </w:tcMar>
            <w:vAlign w:val="center"/>
          </w:tcPr>
          <w:p>
            <w:pPr>
              <w:jc w:val="left"/>
            </w:pPr>
            <w:r>
              <w:rPr>
                <w:b w:val="false"/>
                <w:bCs w:val="false"/>
                <w:color w:val="000000"/>
              </w:rPr>
              <w:t xml:space="preserve">Eliminación de rama</w:t>
            </w:r>
          </w:p>
        </w:tc>
        <w:tc>
          <w:tcPr>
            <w:tcW w:type="dxa" w:w="6850"/>
            <w:shd w:fill="FFFFFF" w:val="clear"/>
            <w:tcMar>
              <w:top w:type="dxa" w:w="80"/>
              <w:left w:type="dxa" w:w="100"/>
              <w:bottom w:type="dxa" w:w="80"/>
              <w:right w:type="dxa" w:w="100"/>
            </w:tcMar>
            <w:vAlign w:val="center"/>
          </w:tcPr>
          <w:p>
            <w:pPr>
              <w:jc w:val="left"/>
            </w:pPr>
            <w:r>
              <w:rPr>
                <w:b w:val="false"/>
                <w:bCs w:val="false"/>
                <w:color w:val="000000"/>
              </w:rPr>
              <w:t xml:space="preserve">Prohibida para main; ramas de feature se eliminan automáticamente al fusionarse.</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rPr>
              <w:t xml:space="preserve">Verificación de firma de commit</w:t>
            </w:r>
          </w:p>
        </w:tc>
        <w:tc>
          <w:tcPr>
            <w:tcW w:type="dxa" w:w="6850"/>
            <w:shd w:fill="F2F2F2" w:val="clear"/>
            <w:tcMar>
              <w:top w:type="dxa" w:w="80"/>
              <w:left w:type="dxa" w:w="100"/>
              <w:bottom w:type="dxa" w:w="80"/>
              <w:right w:type="dxa" w:w="100"/>
            </w:tcMar>
            <w:vAlign w:val="center"/>
          </w:tcPr>
          <w:p>
            <w:pPr>
              <w:jc w:val="left"/>
            </w:pPr>
            <w:r>
              <w:rPr>
                <w:b w:val="false"/>
                <w:bCs w:val="false"/>
                <w:color w:val="000000"/>
              </w:rPr>
              <w:t xml:space="preserve">Obligatoria en main, conforme a ENG-001 y SEC-001, sección 7.2 (firma de commits).</w:t>
            </w:r>
          </w:p>
        </w:tc>
      </w:tr>
    </w:tbl>
    <w:p>
      <w:pPr>
        <w:pStyle w:val="Heading2"/>
        <w:spacing w:after="180" w:before="360"/>
      </w:pPr>
      <w:r>
        <w:rPr>
          <w:b/>
          <w:bCs/>
        </w:rPr>
        <w:t xml:space="preserve">4.3. Configuración de Reglas de Merge Request y Aprobadores Obligatorios</w:t>
      </w:r>
    </w:p>
    <w:p>
      <w:pPr>
        <w:spacing w:after="200" w:line="276"/>
      </w:pPr>
      <w:r>
        <w:t xml:space="preserve">Las reglas de aprobación de Merge Request materializan en la plataforma los controles definidos en ENG-001 (revisión por pares) y GOB-001 (gates de calidad):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val="clear"/>
            <w:tcMar>
              <w:top w:type="dxa" w:w="80"/>
              <w:left w:type="dxa" w:w="100"/>
              <w:bottom w:type="dxa" w:w="80"/>
              <w:right w:type="dxa" w:w="100"/>
            </w:tcMar>
            <w:vAlign w:val="center"/>
          </w:tcPr>
          <w:p>
            <w:pPr>
              <w:jc w:val="left"/>
            </w:pPr>
            <w:r>
              <w:rPr>
                <w:b/>
                <w:bCs/>
                <w:color w:val="FFFFFF"/>
              </w:rPr>
              <w:t xml:space="preserve">Regla</w:t>
            </w:r>
          </w:p>
        </w:tc>
        <w:tc>
          <w:tcPr>
            <w:tcW w:type="dxa" w:w="5950"/>
            <w:shd w:fill="1F3864" w:val="clear"/>
            <w:tcMar>
              <w:top w:type="dxa" w:w="80"/>
              <w:left w:type="dxa" w:w="100"/>
              <w:bottom w:type="dxa" w:w="80"/>
              <w:right w:type="dxa" w:w="100"/>
            </w:tcMar>
            <w:vAlign w:val="center"/>
          </w:tcPr>
          <w:p>
            <w:pPr>
              <w:jc w:val="left"/>
            </w:pPr>
            <w:r>
              <w:rPr>
                <w:b/>
                <w:bCs/>
                <w:color w:val="FFFFFF"/>
              </w:rPr>
              <w:t xml:space="preserve">Configuración</w:t>
            </w:r>
          </w:p>
        </w:tc>
      </w:tr>
      <w:tr>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Aprobadores mínimos</w:t>
            </w:r>
          </w:p>
        </w:tc>
        <w:tc>
          <w:tcPr>
            <w:tcW w:type="dxa" w:w="5950"/>
            <w:shd w:fill="FFFFFF" w:val="clear"/>
            <w:tcMar>
              <w:top w:type="dxa" w:w="80"/>
              <w:left w:type="dxa" w:w="100"/>
              <w:bottom w:type="dxa" w:w="80"/>
              <w:right w:type="dxa" w:w="100"/>
            </w:tcMar>
            <w:vAlign w:val="center"/>
          </w:tcPr>
          <w:p>
            <w:pPr>
              <w:jc w:val="left"/>
            </w:pPr>
            <w:r>
              <w:rPr>
                <w:b w:val="false"/>
                <w:bCs w:val="false"/>
                <w:color w:val="000000"/>
              </w:rPr>
              <w:t xml:space="preserve">1 para proyectos estándar; 2 para proyectos marcados como Tier 1 (ver OPS-001, sección 6).</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Reset de aprobaciones ante nuevos commits</w:t>
            </w:r>
          </w:p>
        </w:tc>
        <w:tc>
          <w:tcPr>
            <w:tcW w:type="dxa" w:w="5950"/>
            <w:shd w:fill="F2F2F2" w:val="clear"/>
            <w:tcMar>
              <w:top w:type="dxa" w:w="80"/>
              <w:left w:type="dxa" w:w="100"/>
              <w:bottom w:type="dxa" w:w="80"/>
              <w:right w:type="dxa" w:w="100"/>
            </w:tcMar>
            <w:vAlign w:val="center"/>
          </w:tcPr>
          <w:p>
            <w:pPr>
              <w:jc w:val="left"/>
            </w:pPr>
            <w:r>
              <w:rPr>
                <w:b w:val="false"/>
                <w:bCs w:val="false"/>
                <w:color w:val="000000"/>
              </w:rPr>
              <w:t xml:space="preserve">Habilitado; toda aprobación se invalida si el código cambia después de aprobado.</w:t>
            </w:r>
          </w:p>
        </w:tc>
      </w:tr>
      <w:tr>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Autoaprobación del autor</w:t>
            </w:r>
          </w:p>
        </w:tc>
        <w:tc>
          <w:tcPr>
            <w:tcW w:type="dxa" w:w="5950"/>
            <w:shd w:fill="FFFFFF" w:val="clear"/>
            <w:tcMar>
              <w:top w:type="dxa" w:w="80"/>
              <w:left w:type="dxa" w:w="100"/>
              <w:bottom w:type="dxa" w:w="80"/>
              <w:right w:type="dxa" w:w="100"/>
            </w:tcMar>
            <w:vAlign w:val="center"/>
          </w:tcPr>
          <w:p>
            <w:pPr>
              <w:jc w:val="left"/>
            </w:pPr>
            <w:r>
              <w:rPr>
                <w:b w:val="false"/>
                <w:bCs w:val="false"/>
                <w:color w:val="000000"/>
              </w:rPr>
              <w:t xml:space="preserve">Deshabilitada (Prevent approval by author), conforme a IAM-001, sección 4.2 (SoD).</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Aprobadores de código propietario (CODEOWNERS)</w:t>
            </w:r>
          </w:p>
        </w:tc>
        <w:tc>
          <w:tcPr>
            <w:tcW w:type="dxa" w:w="5950"/>
            <w:shd w:fill="F2F2F2" w:val="clear"/>
            <w:tcMar>
              <w:top w:type="dxa" w:w="80"/>
              <w:left w:type="dxa" w:w="100"/>
              <w:bottom w:type="dxa" w:w="80"/>
              <w:right w:type="dxa" w:w="100"/>
            </w:tcMar>
            <w:vAlign w:val="center"/>
          </w:tcPr>
          <w:p>
            <w:pPr>
              <w:jc w:val="left"/>
            </w:pPr>
            <w:r>
              <w:rPr>
                <w:b w:val="false"/>
                <w:bCs w:val="false"/>
                <w:color w:val="000000"/>
              </w:rPr>
              <w:t xml:space="preserve">Obligatorio para cambios en directorios de infraestructura, seguridad y configuración de pipeline.</w:t>
            </w:r>
          </w:p>
        </w:tc>
      </w:tr>
      <w:tr>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Pipeline en verde como condición de merge</w:t>
            </w:r>
          </w:p>
        </w:tc>
        <w:tc>
          <w:tcPr>
            <w:tcW w:type="dxa" w:w="5950"/>
            <w:shd w:fill="FFFFFF" w:val="clear"/>
            <w:tcMar>
              <w:top w:type="dxa" w:w="80"/>
              <w:left w:type="dxa" w:w="100"/>
              <w:bottom w:type="dxa" w:w="80"/>
              <w:right w:type="dxa" w:w="100"/>
            </w:tcMar>
            <w:vAlign w:val="center"/>
          </w:tcPr>
          <w:p>
            <w:pPr>
              <w:jc w:val="left"/>
            </w:pPr>
            <w:r>
              <w:rPr>
                <w:b w:val="false"/>
                <w:bCs w:val="false"/>
                <w:color w:val="000000"/>
              </w:rPr>
              <w:t xml:space="preserve">Obligatorio (Pipelines must succeed), incluyendo los gates de GOB-001, capítulo 6.</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Resolución de discusiones</w:t>
            </w:r>
          </w:p>
        </w:tc>
        <w:tc>
          <w:tcPr>
            <w:tcW w:type="dxa" w:w="5950"/>
            <w:shd w:fill="F2F2F2" w:val="clear"/>
            <w:tcMar>
              <w:top w:type="dxa" w:w="80"/>
              <w:left w:type="dxa" w:w="100"/>
              <w:bottom w:type="dxa" w:w="80"/>
              <w:right w:type="dxa" w:w="100"/>
            </w:tcMar>
            <w:vAlign w:val="center"/>
          </w:tcPr>
          <w:p>
            <w:pPr>
              <w:jc w:val="left"/>
            </w:pPr>
            <w:r>
              <w:rPr>
                <w:b w:val="false"/>
                <w:bCs w:val="false"/>
                <w:color w:val="000000"/>
              </w:rPr>
              <w:t xml:space="preserve">Obligatoria antes de fusionar (All threads must be resolved).</w:t>
            </w:r>
          </w:p>
        </w:tc>
      </w:tr>
      <w:tr>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Merge estratégico</w:t>
            </w:r>
          </w:p>
        </w:tc>
        <w:tc>
          <w:tcPr>
            <w:tcW w:type="dxa" w:w="5950"/>
            <w:shd w:fill="FFFFFF" w:val="clear"/>
            <w:tcMar>
              <w:top w:type="dxa" w:w="80"/>
              <w:left w:type="dxa" w:w="100"/>
              <w:bottom w:type="dxa" w:w="80"/>
              <w:right w:type="dxa" w:w="100"/>
            </w:tcMar>
            <w:vAlign w:val="center"/>
          </w:tcPr>
          <w:p>
            <w:pPr>
              <w:jc w:val="left"/>
            </w:pPr>
            <w:r>
              <w:rPr>
                <w:b w:val="false"/>
                <w:bCs w:val="false"/>
                <w:color w:val="000000"/>
              </w:rPr>
              <w:t xml:space="preserve">Squash and merge por defecto, preservando un historial lineal y legible.</w:t>
            </w:r>
          </w:p>
        </w:tc>
      </w:tr>
    </w:tbl>
    <w:p>
      <w:pPr>
        <w:pStyle w:val="Heading1"/>
        <w:pageBreakBefore/>
        <w:spacing w:after="240" w:before="480"/>
      </w:pPr>
      <w:r>
        <w:rPr>
          <w:b/>
          <w:bCs/>
        </w:rPr>
        <w:t xml:space="preserve">5. Arquitectura y Despliegue de GitLab Runners</w:t>
      </w:r>
    </w:p>
    <w:p>
      <w:pPr>
        <w:spacing w:after="200" w:line="276"/>
      </w:pPr>
      <w:r>
        <w:t xml:space="preserve">Este capítulo define cómo se organizan, escalan y protegen los runners que ejecutan los pipelines de CI/CD, siendo estos el componente de mayor riesgo de la plataforma al ejecutar código y manejar credenciales.</w:t>
      </w:r>
    </w:p>
    <w:p>
      <w:pPr>
        <w:pStyle w:val="Heading2"/>
        <w:spacing w:after="180" w:before="360"/>
      </w:pPr>
      <w:r>
        <w:rPr>
          <w:b/>
          <w:bCs/>
        </w:rPr>
        <w:t xml:space="preserve">5.1. Tipos de Runners (Shared, Group, Specific) y Executor Types (Docker, Kubernetes)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450"/>
        <w:gridCol w:w="240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rPr>
              <w:t xml:space="preserve">Tipo de Runner</w:t>
            </w:r>
          </w:p>
        </w:tc>
        <w:tc>
          <w:tcPr>
            <w:tcW w:type="dxa" w:w="2600"/>
            <w:shd w:fill="1F3864" w:val="clear"/>
            <w:tcMar>
              <w:top w:type="dxa" w:w="80"/>
              <w:left w:type="dxa" w:w="100"/>
              <w:bottom w:type="dxa" w:w="80"/>
              <w:right w:type="dxa" w:w="100"/>
            </w:tcMar>
            <w:vAlign w:val="center"/>
          </w:tcPr>
          <w:p>
            <w:pPr>
              <w:jc w:val="left"/>
            </w:pPr>
            <w:r>
              <w:rPr>
                <w:b/>
                <w:bCs/>
                <w:color w:val="FFFFFF"/>
              </w:rPr>
              <w:t xml:space="preserve">Alcance</w:t>
            </w:r>
          </w:p>
        </w:tc>
        <w:tc>
          <w:tcPr>
            <w:tcW w:type="dxa" w:w="2450"/>
            <w:shd w:fill="1F3864" w:val="clear"/>
            <w:tcMar>
              <w:top w:type="dxa" w:w="80"/>
              <w:left w:type="dxa" w:w="100"/>
              <w:bottom w:type="dxa" w:w="80"/>
              <w:right w:type="dxa" w:w="100"/>
            </w:tcMar>
            <w:vAlign w:val="center"/>
          </w:tcPr>
          <w:p>
            <w:pPr>
              <w:jc w:val="left"/>
            </w:pPr>
            <w:r>
              <w:rPr>
                <w:b/>
                <w:bCs/>
                <w:color w:val="FFFFFF"/>
              </w:rPr>
              <w:t xml:space="preserve">Executor</w:t>
            </w:r>
          </w:p>
        </w:tc>
        <w:tc>
          <w:tcPr>
            <w:tcW w:type="dxa" w:w="2400"/>
            <w:shd w:fill="1F3864" w:val="clear"/>
            <w:tcMar>
              <w:top w:type="dxa" w:w="80"/>
              <w:left w:type="dxa" w:w="100"/>
              <w:bottom w:type="dxa" w:w="80"/>
              <w:right w:type="dxa" w:w="100"/>
            </w:tcMar>
            <w:vAlign w:val="center"/>
          </w:tcPr>
          <w:p>
            <w:pPr>
              <w:jc w:val="left"/>
            </w:pPr>
            <w:r>
              <w:rPr>
                <w:b/>
                <w:bCs/>
                <w:color w:val="FFFFFF"/>
              </w:rPr>
              <w:t xml:space="preserve">Uso Recomendado</w:t>
            </w:r>
          </w:p>
        </w:tc>
      </w:tr>
      <w:tr>
        <w:tc>
          <w:tcPr>
            <w:tcW w:type="dxa" w:w="1900"/>
            <w:shd w:fill="FFFFFF" w:val="clear"/>
            <w:tcMar>
              <w:top w:type="dxa" w:w="80"/>
              <w:left w:type="dxa" w:w="100"/>
              <w:bottom w:type="dxa" w:w="80"/>
              <w:right w:type="dxa" w:w="100"/>
            </w:tcMar>
            <w:vAlign w:val="center"/>
          </w:tcPr>
          <w:p>
            <w:pPr>
              <w:jc w:val="left"/>
            </w:pPr>
            <w:r>
              <w:rPr>
                <w:b w:val="false"/>
                <w:bCs w:val="false"/>
                <w:color w:val="000000"/>
              </w:rPr>
              <w:t xml:space="preserve">Shared</w:t>
            </w:r>
          </w:p>
        </w:tc>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Disponible para todo el grupo raíz.</w:t>
            </w:r>
          </w:p>
        </w:tc>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Kubernetes</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Jobs genéricos de bajo riesgo: linting, pruebas unitarias sin acceso a secretos productivos.</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rPr>
              <w:t xml:space="preserve">Group</w:t>
            </w:r>
          </w:p>
        </w:tc>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Disponible para un subgrupo de dominio específico.</w:t>
            </w:r>
          </w:p>
        </w:tc>
        <w:tc>
          <w:tcPr>
            <w:tcW w:type="dxa" w:w="2450"/>
            <w:shd w:fill="F2F2F2" w:val="clear"/>
            <w:tcMar>
              <w:top w:type="dxa" w:w="80"/>
              <w:left w:type="dxa" w:w="100"/>
              <w:bottom w:type="dxa" w:w="80"/>
              <w:right w:type="dxa" w:w="100"/>
            </w:tcMar>
            <w:vAlign w:val="center"/>
          </w:tcPr>
          <w:p>
            <w:pPr>
              <w:jc w:val="left"/>
            </w:pPr>
            <w:r>
              <w:rPr>
                <w:b w:val="false"/>
                <w:bCs w:val="false"/>
                <w:color w:val="000000"/>
              </w:rPr>
              <w:t xml:space="preserve">Kubernetes / Docker</w:t>
            </w:r>
          </w:p>
        </w:tc>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Pipelines de construcción y pruebas de integración de un dominio de negocio.</w:t>
            </w:r>
          </w:p>
        </w:tc>
      </w:tr>
      <w:tr>
        <w:tc>
          <w:tcPr>
            <w:tcW w:type="dxa" w:w="1900"/>
            <w:shd w:fill="FFFFFF" w:val="clear"/>
            <w:tcMar>
              <w:top w:type="dxa" w:w="80"/>
              <w:left w:type="dxa" w:w="100"/>
              <w:bottom w:type="dxa" w:w="80"/>
              <w:right w:type="dxa" w:w="100"/>
            </w:tcMar>
            <w:vAlign w:val="center"/>
          </w:tcPr>
          <w:p>
            <w:pPr>
              <w:jc w:val="left"/>
            </w:pPr>
            <w:r>
              <w:rPr>
                <w:b w:val="false"/>
                <w:bCs w:val="false"/>
                <w:color w:val="000000"/>
              </w:rPr>
              <w:t xml:space="preserve">Specific (Project)</w:t>
            </w:r>
          </w:p>
        </w:tc>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Vinculado a un único proyecto.</w:t>
            </w:r>
          </w:p>
        </w:tc>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Kubernetes / Docker / Shell (excepcional)</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Despliegues a producción y jobs con acceso a credenciales de alta sensibilidad.</w:t>
            </w:r>
          </w:p>
        </w:tc>
      </w:tr>
    </w:tbl>
    <w:p>
      <w:pPr>
        <w:spacing w:after="200" w:line="276"/>
      </w:pPr>
      <w:r>
        <w:t xml:space="preserve">El executor Kubernetes es el estándar por defecto, alineado a la plataforma de cómputo objetivo definida en ARC-001, sección 4.2. El executor Shell queda reservado a casos excepcionales aprobados por Seguridad, dado su mayor riesgo de persistencia de estado entre ejecuciones.</w:t>
      </w:r>
    </w:p>
    <w:p>
      <w:pPr>
        <w:pStyle w:val="Heading2"/>
        <w:spacing w:after="180" w:before="360"/>
      </w:pPr>
      <w:r>
        <w:rPr>
          <w:b/>
          <w:bCs/>
        </w:rPr>
        <w:t xml:space="preserve">5.2. Escalado Automático y Aislamiento de Ejecución de Jobs</w:t>
      </w:r>
    </w:p>
    <w:p>
      <w:pPr>
        <w:pStyle w:val="ListParagraph"/>
        <w:numPr>
          <w:ilvl w:val="0"/>
          <w:numId w:val="2"/>
        </w:numPr>
        <w:spacing w:after="120"/>
      </w:pPr>
      <w:r>
        <w:t xml:space="preserve">Los runners Kubernetes escalan automáticamente mediante el GitLab Runner Kubernetes Executor, aprovisionando un pod efímero por cada job.</w:t>
      </w:r>
    </w:p>
    <w:p>
      <w:pPr>
        <w:pStyle w:val="ListParagraph"/>
        <w:numPr>
          <w:ilvl w:val="0"/>
          <w:numId w:val="2"/>
        </w:numPr>
        <w:spacing w:after="120"/>
      </w:pPr>
      <w:r>
        <w:t xml:space="preserve">Cada job se ejecuta en un namespace de Kubernetes aislado por nivel de sensibilidad (no productivo / productivo), sin compartir red ni volúmenes entre jobs concurrentes.</w:t>
      </w:r>
    </w:p>
    <w:p>
      <w:pPr>
        <w:pStyle w:val="ListParagraph"/>
        <w:numPr>
          <w:ilvl w:val="0"/>
          <w:numId w:val="2"/>
        </w:numPr>
        <w:spacing w:after="120"/>
      </w:pPr>
      <w:r>
        <w:t xml:space="preserve">Los pods de ejecución no poseen privilegios de administrador del clúster (no privileged, no hostPath), conforme al principio de mínimo privilegio de IAM-001.</w:t>
      </w:r>
    </w:p>
    <w:p>
      <w:pPr>
        <w:pStyle w:val="ListParagraph"/>
        <w:numPr>
          <w:ilvl w:val="0"/>
          <w:numId w:val="2"/>
        </w:numPr>
        <w:spacing w:after="120"/>
      </w:pPr>
      <w:r>
        <w:t xml:space="preserve">El tiempo máximo de ejecución de un job se limita explícitamente (timeout) para prevenir la retención indefinida de recursos y credenciales temporales.</w:t>
      </w:r>
    </w:p>
    <w:p>
      <w:pPr>
        <w:pStyle w:val="Heading2"/>
        <w:spacing w:after="180" w:before="360"/>
      </w:pPr>
      <w:r>
        <w:rPr>
          <w:b/>
          <w:bCs/>
        </w:rPr>
        <w:t xml:space="preserve">5.3. Hardening de Imágenes base para Runners</w:t>
      </w:r>
    </w:p>
    <w:p>
      <w:pPr>
        <w:pStyle w:val="ListParagraph"/>
        <w:numPr>
          <w:ilvl w:val="0"/>
          <w:numId w:val="2"/>
        </w:numPr>
        <w:spacing w:after="120"/>
      </w:pPr>
      <w:r>
        <w:t xml:space="preserve">Las imágenes base de los runners se construyen y versionan internamente a partir de una imagen mínima (distroless o Alpine), nunca directamente desde una imagen pública sin escaneo previo.</w:t>
      </w:r>
    </w:p>
    <w:p>
      <w:pPr>
        <w:pStyle w:val="ListParagraph"/>
        <w:numPr>
          <w:ilvl w:val="0"/>
          <w:numId w:val="2"/>
        </w:numPr>
        <w:spacing w:after="120"/>
      </w:pPr>
      <w:r>
        <w:t xml:space="preserve">Toda imagen base se escanea con las mismas herramientas SCA de SEC-001, sección 5.3, antes de publicarse en el registro interno de imágenes de runner.</w:t>
      </w:r>
    </w:p>
    <w:p>
      <w:pPr>
        <w:pStyle w:val="ListParagraph"/>
        <w:numPr>
          <w:ilvl w:val="0"/>
          <w:numId w:val="2"/>
        </w:numPr>
        <w:spacing w:after="120"/>
      </w:pPr>
      <w:r>
        <w:t xml:space="preserve">Las imágenes se reconstruyen y republican de forma automatizada ante cada actualización de seguridad del sistema operativo base, sin esperar al ciclo de actualización trimestral estándar.</w:t>
      </w:r>
    </w:p>
    <w:p>
      <w:pPr>
        <w:pStyle w:val="ListParagraph"/>
        <w:numPr>
          <w:ilvl w:val="0"/>
          <w:numId w:val="2"/>
        </w:numPr>
        <w:spacing w:after="120"/>
      </w:pPr>
      <w:r>
        <w:t xml:space="preserve">Ningún runner incluye credenciales, tokens o secretos incrustados en la imagen; toda credencial se inyecta en tiempo de ejecución desde el gestor de secretos (sección 6.2).</w:t>
      </w:r>
    </w:p>
    <w:p>
      <w:pPr>
        <w:pStyle w:val="Heading1"/>
        <w:pageBreakBefore/>
        <w:spacing w:after="240" w:before="480"/>
      </w:pPr>
      <w:r>
        <w:rPr>
          <w:b/>
          <w:bCs/>
        </w:rPr>
        <w:t xml:space="preserve">6. Integraciones del Sistema</w:t>
      </w:r>
    </w:p>
    <w:p>
      <w:pPr>
        <w:spacing w:after="200" w:line="276"/>
      </w:pPr>
      <w:r>
        <w:t xml:space="preserve">Este capítulo describe cómo GitLab se integra con otros sistemas corporativos mediante webhooks y con el gestor de secretos externo, evitando el almacenamiento de credenciales dentro de la propia plataforma.</w:t>
      </w:r>
    </w:p>
    <w:p>
      <w:pPr>
        <w:pStyle w:val="Heading2"/>
        <w:spacing w:after="180" w:before="360"/>
      </w:pPr>
      <w:r>
        <w:rPr>
          <w:b/>
          <w:bCs/>
        </w:rPr>
        <w:t xml:space="preserve">6.1. Configuración de Webhooks y Secretos Globales</w:t>
      </w:r>
    </w:p>
    <w:p>
      <w:pPr>
        <w:pStyle w:val="ListParagraph"/>
        <w:numPr>
          <w:ilvl w:val="0"/>
          <w:numId w:val="2"/>
        </w:numPr>
        <w:spacing w:after="120"/>
      </w:pPr>
      <w:r>
        <w:t xml:space="preserve">Todo webhook saliente de GitLab utiliza un token de verificación (secret token) único por integración, rotado conforme a la política de IAM-001, sección 5.2.</w:t>
      </w:r>
    </w:p>
    <w:p>
      <w:pPr>
        <w:pStyle w:val="ListParagraph"/>
        <w:numPr>
          <w:ilvl w:val="0"/>
          <w:numId w:val="2"/>
        </w:numPr>
        <w:spacing w:after="120"/>
      </w:pPr>
      <w:r>
        <w:t xml:space="preserve">Los webhooks hacia sistemas externos (gestión de incidentes, chat corporativo) se restringen mediante allowlist de URL, deshabilitando el acceso a redes internas no autorizadas (SSRF).</w:t>
      </w:r>
    </w:p>
    <w:p>
      <w:pPr>
        <w:pStyle w:val="ListParagraph"/>
        <w:numPr>
          <w:ilvl w:val="0"/>
          <w:numId w:val="2"/>
        </w:numPr>
        <w:spacing w:after="120"/>
      </w:pPr>
      <w:r>
        <w:t xml:space="preserve">Las variables de CI/CD marcadas como "Protected" y "Masked" son obligatorias para cualquier valor sensible definido a nivel de grupo o proyecto; ningún secreto se almacena como variable de CI/CD sin protección.</w:t>
      </w:r>
    </w:p>
    <w:p>
      <w:pPr>
        <w:pStyle w:val="Heading2"/>
        <w:spacing w:after="180" w:before="360"/>
      </w:pPr>
      <w:r>
        <w:rPr>
          <w:b/>
          <w:bCs/>
        </w:rPr>
        <w:t xml:space="preserve">6.2. Integración con Repositorios de Secretos Externos (HashiCorp Vault / Cloud Secrets Manager)</w:t>
      </w:r>
    </w:p>
    <w:p>
      <w:pPr>
        <w:spacing w:after="200" w:line="276"/>
      </w:pPr>
      <w:r>
        <w:t xml:space="preserve">GitLab no es el sistema de registro (source of truth) de ningún secreto de aplicación. Los pipelines obtienen credenciales en tiempo de ejecución desde el gestor de secretos externo homologado, mediante autenticación federada de corta duración (JWT de CI/CD como identidad).</w:t>
      </w:r>
    </w:p>
    <w:p>
      <w:pPr>
        <w:pStyle w:val="ListParagraph"/>
        <w:numPr>
          <w:ilvl w:val="0"/>
          <w:numId w:val="2"/>
        </w:numPr>
        <w:spacing w:after="120"/>
      </w:pPr>
      <w:r>
        <w:t xml:space="preserve">Cada job de pipeline autentica contra Vault o el Secrets Manager del proveedor cloud utilizando el token OIDC nativo de GitLab CI, sin credenciales estáticas almacenadas en el pipeline.</w:t>
      </w:r>
    </w:p>
    <w:p>
      <w:pPr>
        <w:pStyle w:val="ListParagraph"/>
        <w:numPr>
          <w:ilvl w:val="0"/>
          <w:numId w:val="2"/>
        </w:numPr>
        <w:spacing w:after="120"/>
      </w:pPr>
      <w:r>
        <w:t xml:space="preserve">El alcance de cada credencial obtenida se limita al proyecto y ambiente específico del job, conforme a la matriz RBAC de IAM-001, sección 4.1.</w:t>
      </w:r>
    </w:p>
    <w:p>
      <w:pPr>
        <w:pStyle w:val="ListParagraph"/>
        <w:numPr>
          <w:ilvl w:val="0"/>
          <w:numId w:val="2"/>
        </w:numPr>
        <w:spacing w:after="120"/>
      </w:pPr>
      <w:r>
        <w:t xml:space="preserve">Ninguna credencial obtenida durante la ejecución de un job persiste más allá de su tiempo de vida; se invalida automáticamente al finalizar el job.</w:t>
      </w:r>
    </w:p>
    <w:p>
      <w:pPr>
        <w:pStyle w:val="Heading1"/>
        <w:pageBreakBefore/>
        <w:spacing w:after="240" w:before="480"/>
      </w:pPr>
      <w:r>
        <w:rPr>
          <w:b/>
          <w:bCs/>
        </w:rPr>
        <w:t xml:space="preserve">7. Estrategia de Respaldos, Alta Disponibilidad y Disaster Recovery (DRP)</w:t>
      </w:r>
    </w:p>
    <w:p>
      <w:pPr>
        <w:spacing w:after="200" w:line="276"/>
      </w:pPr>
      <w:r>
        <w:t xml:space="preserve">Aunque GitLab Ultimate SaaS provee alta disponibilidad gestionada por el proveedor, la organización mantiene una estrategia complementaria de respaldo y recuperación ante desastres para los componentes bajo su responsabilidad directa y para mitigar el riesgo de indisponibilidad prolongada del proveedor.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1600"/>
        <w:gridCol w:w="3450"/>
      </w:tblGrid>
      <w:tr>
        <w:trPr>
          <w:tblHeader/>
        </w:trPr>
        <w:tc>
          <w:tcPr>
            <w:tcW w:type="dxa" w:w="2700"/>
            <w:shd w:fill="1F3864" w:val="clear"/>
            <w:tcMar>
              <w:top w:type="dxa" w:w="80"/>
              <w:left w:type="dxa" w:w="100"/>
              <w:bottom w:type="dxa" w:w="80"/>
              <w:right w:type="dxa" w:w="100"/>
            </w:tcMar>
            <w:vAlign w:val="center"/>
          </w:tcPr>
          <w:p>
            <w:pPr>
              <w:jc w:val="left"/>
            </w:pPr>
            <w:r>
              <w:rPr>
                <w:b/>
                <w:bCs/>
                <w:color w:val="FFFFFF"/>
              </w:rPr>
              <w:t xml:space="preserve">Componente</w:t>
            </w:r>
          </w:p>
        </w:tc>
        <w:tc>
          <w:tcPr>
            <w:tcW w:type="dxa" w:w="1600"/>
            <w:shd w:fill="1F3864" w:val="clear"/>
            <w:tcMar>
              <w:top w:type="dxa" w:w="80"/>
              <w:left w:type="dxa" w:w="100"/>
              <w:bottom w:type="dxa" w:w="80"/>
              <w:right w:type="dxa" w:w="100"/>
            </w:tcMar>
            <w:vAlign w:val="center"/>
          </w:tcPr>
          <w:p>
            <w:pPr>
              <w:jc w:val="left"/>
            </w:pPr>
            <w:r>
              <w:rPr>
                <w:b/>
                <w:bCs/>
                <w:color w:val="FFFFFF"/>
              </w:rPr>
              <w:t xml:space="preserve">RPO</w:t>
            </w:r>
          </w:p>
        </w:tc>
        <w:tc>
          <w:tcPr>
            <w:tcW w:type="dxa" w:w="1600"/>
            <w:shd w:fill="1F3864" w:val="clear"/>
            <w:tcMar>
              <w:top w:type="dxa" w:w="80"/>
              <w:left w:type="dxa" w:w="100"/>
              <w:bottom w:type="dxa" w:w="80"/>
              <w:right w:type="dxa" w:w="100"/>
            </w:tcMar>
            <w:vAlign w:val="center"/>
          </w:tcPr>
          <w:p>
            <w:pPr>
              <w:jc w:val="left"/>
            </w:pPr>
            <w:r>
              <w:rPr>
                <w:b/>
                <w:bCs/>
                <w:color w:val="FFFFFF"/>
              </w:rPr>
              <w:t xml:space="preserve">RTO</w:t>
            </w:r>
          </w:p>
        </w:tc>
        <w:tc>
          <w:tcPr>
            <w:tcW w:type="dxa" w:w="3450"/>
            <w:shd w:fill="1F3864" w:val="clear"/>
            <w:tcMar>
              <w:top w:type="dxa" w:w="80"/>
              <w:left w:type="dxa" w:w="100"/>
              <w:bottom w:type="dxa" w:w="80"/>
              <w:right w:type="dxa" w:w="100"/>
            </w:tcMar>
            <w:vAlign w:val="center"/>
          </w:tcPr>
          <w:p>
            <w:pPr>
              <w:jc w:val="left"/>
            </w:pPr>
            <w:r>
              <w:rPr>
                <w:b/>
                <w:bCs/>
                <w:color w:val="FFFFFF"/>
              </w:rPr>
              <w:t xml:space="preserve">Estrategia</w:t>
            </w:r>
          </w:p>
        </w:tc>
      </w:tr>
      <w:tr>
        <w:tc>
          <w:tcPr>
            <w:tcW w:type="dxa" w:w="2700"/>
            <w:shd w:fill="FFFFFF" w:val="clear"/>
            <w:tcMar>
              <w:top w:type="dxa" w:w="80"/>
              <w:left w:type="dxa" w:w="100"/>
              <w:bottom w:type="dxa" w:w="80"/>
              <w:right w:type="dxa" w:w="100"/>
            </w:tcMar>
            <w:vAlign w:val="center"/>
          </w:tcPr>
          <w:p>
            <w:pPr>
              <w:jc w:val="left"/>
            </w:pPr>
            <w:r>
              <w:rPr>
                <w:b w:val="false"/>
                <w:bCs w:val="false"/>
                <w:color w:val="000000"/>
              </w:rPr>
              <w:t xml:space="preserve">Base de datos de GitLab (metadatos)</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15 minutos</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1 hora</w:t>
            </w:r>
          </w:p>
        </w:tc>
        <w:tc>
          <w:tcPr>
            <w:tcW w:type="dxa" w:w="3450"/>
            <w:shd w:fill="FFFFFF" w:val="clear"/>
            <w:tcMar>
              <w:top w:type="dxa" w:w="80"/>
              <w:left w:type="dxa" w:w="100"/>
              <w:bottom w:type="dxa" w:w="80"/>
              <w:right w:type="dxa" w:w="100"/>
            </w:tcMar>
            <w:vAlign w:val="center"/>
          </w:tcPr>
          <w:p>
            <w:pPr>
              <w:jc w:val="left"/>
            </w:pPr>
            <w:r>
              <w:rPr>
                <w:b w:val="false"/>
                <w:bCs w:val="false"/>
                <w:color w:val="000000"/>
              </w:rPr>
              <w:t xml:space="preserve">Replicación continua a región secundaria + snapshots automatizados cada 15 minutos.</w:t>
            </w:r>
          </w:p>
        </w:tc>
      </w:tr>
      <w:tr>
        <w:tc>
          <w:tcPr>
            <w:tcW w:type="dxa" w:w="2700"/>
            <w:shd w:fill="F2F2F2" w:val="clear"/>
            <w:tcMar>
              <w:top w:type="dxa" w:w="80"/>
              <w:left w:type="dxa" w:w="100"/>
              <w:bottom w:type="dxa" w:w="80"/>
              <w:right w:type="dxa" w:w="100"/>
            </w:tcMar>
            <w:vAlign w:val="center"/>
          </w:tcPr>
          <w:p>
            <w:pPr>
              <w:jc w:val="left"/>
            </w:pPr>
            <w:r>
              <w:rPr>
                <w:b w:val="false"/>
                <w:bCs w:val="false"/>
                <w:color w:val="000000"/>
              </w:rPr>
              <w:t xml:space="preserve">Almacenamiento de repositorios Git</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15 minutos</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1 hora</w:t>
            </w:r>
          </w:p>
        </w:tc>
        <w:tc>
          <w:tcPr>
            <w:tcW w:type="dxa" w:w="3450"/>
            <w:shd w:fill="F2F2F2" w:val="clear"/>
            <w:tcMar>
              <w:top w:type="dxa" w:w="80"/>
              <w:left w:type="dxa" w:w="100"/>
              <w:bottom w:type="dxa" w:w="80"/>
              <w:right w:type="dxa" w:w="100"/>
            </w:tcMar>
            <w:vAlign w:val="center"/>
          </w:tcPr>
          <w:p>
            <w:pPr>
              <w:jc w:val="left"/>
            </w:pPr>
            <w:r>
              <w:rPr>
                <w:b w:val="false"/>
                <w:bCs w:val="false"/>
                <w:color w:val="000000"/>
              </w:rPr>
              <w:t xml:space="preserve">Replicación Geo de GitLab hacia el sitio secundario.</w:t>
            </w:r>
          </w:p>
        </w:tc>
      </w:tr>
      <w:tr>
        <w:tc>
          <w:tcPr>
            <w:tcW w:type="dxa" w:w="2700"/>
            <w:shd w:fill="FFFFFF" w:val="clear"/>
            <w:tcMar>
              <w:top w:type="dxa" w:w="80"/>
              <w:left w:type="dxa" w:w="100"/>
              <w:bottom w:type="dxa" w:w="80"/>
              <w:right w:type="dxa" w:w="100"/>
            </w:tcMar>
            <w:vAlign w:val="center"/>
          </w:tcPr>
          <w:p>
            <w:pPr>
              <w:jc w:val="left"/>
            </w:pPr>
            <w:r>
              <w:rPr>
                <w:b w:val="false"/>
                <w:bCs w:val="false"/>
                <w:color w:val="000000"/>
              </w:rPr>
              <w:t xml:space="preserve">Registro de artefactos y contenedores</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1 hora</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2 horas</w:t>
            </w:r>
          </w:p>
        </w:tc>
        <w:tc>
          <w:tcPr>
            <w:tcW w:type="dxa" w:w="3450"/>
            <w:shd w:fill="FFFFFF" w:val="clear"/>
            <w:tcMar>
              <w:top w:type="dxa" w:w="80"/>
              <w:left w:type="dxa" w:w="100"/>
              <w:bottom w:type="dxa" w:w="80"/>
              <w:right w:type="dxa" w:w="100"/>
            </w:tcMar>
            <w:vAlign w:val="center"/>
          </w:tcPr>
          <w:p>
            <w:pPr>
              <w:jc w:val="left"/>
            </w:pPr>
            <w:r>
              <w:rPr>
                <w:b w:val="false"/>
                <w:bCs w:val="false"/>
                <w:color w:val="000000"/>
              </w:rPr>
              <w:t xml:space="preserve">Replicación asíncrona del almacenamiento de objetos (S3/Blob) entre regiones.</w:t>
            </w:r>
          </w:p>
        </w:tc>
      </w:tr>
      <w:tr>
        <w:tc>
          <w:tcPr>
            <w:tcW w:type="dxa" w:w="2700"/>
            <w:shd w:fill="F2F2F2" w:val="clear"/>
            <w:tcMar>
              <w:top w:type="dxa" w:w="80"/>
              <w:left w:type="dxa" w:w="100"/>
              <w:bottom w:type="dxa" w:w="80"/>
              <w:right w:type="dxa" w:w="100"/>
            </w:tcMar>
            <w:vAlign w:val="center"/>
          </w:tcPr>
          <w:p>
            <w:pPr>
              <w:jc w:val="left"/>
            </w:pPr>
            <w:r>
              <w:rPr>
                <w:b w:val="false"/>
                <w:bCs w:val="false"/>
                <w:color w:val="000000"/>
              </w:rPr>
              <w:t xml:space="preserve">Configuración de runners</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N/A (definida como código)</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30 minutos</w:t>
            </w:r>
          </w:p>
        </w:tc>
        <w:tc>
          <w:tcPr>
            <w:tcW w:type="dxa" w:w="3450"/>
            <w:shd w:fill="F2F2F2" w:val="clear"/>
            <w:tcMar>
              <w:top w:type="dxa" w:w="80"/>
              <w:left w:type="dxa" w:w="100"/>
              <w:bottom w:type="dxa" w:w="80"/>
              <w:right w:type="dxa" w:w="100"/>
            </w:tcMar>
            <w:vAlign w:val="center"/>
          </w:tcPr>
          <w:p>
            <w:pPr>
              <w:jc w:val="left"/>
            </w:pPr>
            <w:r>
              <w:rPr>
                <w:b w:val="false"/>
                <w:bCs w:val="false"/>
                <w:color w:val="000000"/>
              </w:rPr>
              <w:t xml:space="preserve">Reaprovisionamiento automatizado vía IaC (ver anexo 8.1); sin estado persistente que respaldar.</w:t>
            </w:r>
          </w:p>
        </w:tc>
      </w:tr>
      <w:tr>
        <w:tc>
          <w:tcPr>
            <w:tcW w:type="dxa" w:w="2700"/>
            <w:shd w:fill="FFFFFF" w:val="clear"/>
            <w:tcMar>
              <w:top w:type="dxa" w:w="80"/>
              <w:left w:type="dxa" w:w="100"/>
              <w:bottom w:type="dxa" w:w="80"/>
              <w:right w:type="dxa" w:w="100"/>
            </w:tcMar>
            <w:vAlign w:val="center"/>
          </w:tcPr>
          <w:p>
            <w:pPr>
              <w:jc w:val="left"/>
            </w:pPr>
            <w:r>
              <w:rPr>
                <w:b w:val="false"/>
                <w:bCs w:val="false"/>
                <w:color w:val="000000"/>
              </w:rPr>
              <w:t xml:space="preserve">Instancia completa (escenario de desastre total)</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15 minutos</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4 horas</w:t>
            </w:r>
          </w:p>
        </w:tc>
        <w:tc>
          <w:tcPr>
            <w:tcW w:type="dxa" w:w="3450"/>
            <w:shd w:fill="FFFFFF" w:val="clear"/>
            <w:tcMar>
              <w:top w:type="dxa" w:w="80"/>
              <w:left w:type="dxa" w:w="100"/>
              <w:bottom w:type="dxa" w:w="80"/>
              <w:right w:type="dxa" w:w="100"/>
            </w:tcMar>
            <w:vAlign w:val="center"/>
          </w:tcPr>
          <w:p>
            <w:pPr>
              <w:jc w:val="left"/>
            </w:pPr>
            <w:r>
              <w:rPr>
                <w:b w:val="false"/>
                <w:bCs w:val="false"/>
                <w:color w:val="000000"/>
              </w:rPr>
              <w:t xml:space="preserve">Conmutación (failover) manual autorizada por el Comité de Gobierno DevSecOps hacia el sitio secundario.</w:t>
            </w:r>
          </w:p>
        </w:tc>
      </w:tr>
    </w:tbl>
    <w:p>
      <w:pPr>
        <w:spacing w:after="200" w:line="276"/>
      </w:pPr>
      <w:r>
        <w:t xml:space="preserve">La estrategia de DRP se prueba mediante un ejercicio de conmutación controlada (DR drill) con periodicidad semestral, coordinado por el equipo de Plataforma y validado por el Comité de Gobierno DevSecOps, dejando constancia de los resultados conforme a la plantilla de post-mortem de OPS-001, anexo 7.1, adaptada a ejercicios planificados.</w:t>
      </w:r>
    </w:p>
    <w:p>
      <w:pPr>
        <w:pStyle w:val="Heading1"/>
        <w:pageBreakBefore/>
        <w:spacing w:after="240" w:before="480"/>
      </w:pPr>
      <w:r>
        <w:rPr>
          <w:b/>
          <w:bCs/>
        </w:rPr>
        <w:t xml:space="preserve">8. Anexos</w:t>
      </w:r>
    </w:p>
    <w:p>
      <w:pPr>
        <w:pStyle w:val="Heading2"/>
        <w:spacing w:after="180" w:before="360"/>
      </w:pPr>
      <w:r>
        <w:rPr>
          <w:b/>
          <w:bCs/>
        </w:rPr>
        <w:t xml:space="preserve">8.1. Script/Playbook de Despliegue de Runner Seguro</w:t>
      </w:r>
    </w:p>
    <w:p>
      <w:pPr>
        <w:spacing w:after="200" w:line="276"/>
      </w:pPr>
      <w:r>
        <w:t xml:space="preserve">El siguiente playbook de referencia despliega un GitLab Runner con executor Kubernetes siguiendo los controles de hardening de este documento: pods no privilegiados, escalado automático acotado y ausencia de credenciales incrustadas.</w:t>
      </w:r>
    </w:p>
    <w:p>
      <w:pPr>
        <w:spacing w:after="100" w:before="200"/>
      </w:pPr>
      <w:r>
        <w:rPr>
          <w:b/>
          <w:bCs/>
        </w:rPr>
        <w:t xml:space="preserve">Paso 1 — Valores de Helm para el Runner (values.yaml)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6"/>
                <w:szCs w:val="16"/>
              </w:rPr>
              <w:t xml:space="preserve">gitlabUrl: https://gitlab.com/</w:t>
            </w:r>
          </w:p>
          <w:p>
            <w:pPr>
              <w:spacing w:after="0"/>
            </w:pPr>
            <w:r>
              <w:rPr>
                <w:rFonts w:ascii="Consolas" w:cs="Consolas" w:eastAsia="Consolas" w:hAnsi="Consolas"/>
                <w:color w:val="D4D4D4"/>
                <w:sz w:val="16"/>
                <w:szCs w:val="16"/>
              </w:rPr>
              <w:t xml:space="preserve">runnerRegistrationToken: ""   # Se inyecta vía Vault, nunca en texto plano</w:t>
            </w:r>
          </w:p>
          <w:p>
            <w:pPr>
              <w:spacing w:after="0"/>
            </w:pPr>
            <w:r>
              <w:rPr>
                <w:rFonts w:ascii="Consolas" w:cs="Consolas" w:eastAsia="Consolas" w:hAnsi="Consolas"/>
                <w:color w:val="D4D4D4"/>
                <w:sz w:val="16"/>
                <w:szCs w:val="16"/>
              </w:rPr>
              <w:t xml:space="preserve">runnerToken: ""               # Token de runner autenticado (GitLab 16+)</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concurrent: 20</w:t>
            </w:r>
          </w:p>
          <w:p>
            <w:pPr>
              <w:spacing w:after="0"/>
            </w:pPr>
            <w:r>
              <w:rPr>
                <w:rFonts w:ascii="Consolas" w:cs="Consolas" w:eastAsia="Consolas" w:hAnsi="Consolas"/>
                <w:color w:val="D4D4D4"/>
                <w:sz w:val="16"/>
                <w:szCs w:val="16"/>
              </w:rPr>
              <w:t xml:space="preserve">checkInterval: 10</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rbac:</w:t>
            </w:r>
          </w:p>
          <w:p>
            <w:pPr>
              <w:spacing w:after="0"/>
            </w:pPr>
            <w:r>
              <w:rPr>
                <w:rFonts w:ascii="Consolas" w:cs="Consolas" w:eastAsia="Consolas" w:hAnsi="Consolas"/>
                <w:color w:val="D4D4D4"/>
                <w:sz w:val="16"/>
                <w:szCs w:val="16"/>
              </w:rPr>
              <w:t xml:space="preserve">  create: true</w:t>
            </w:r>
          </w:p>
          <w:p>
            <w:pPr>
              <w:spacing w:after="0"/>
            </w:pPr>
            <w:r>
              <w:rPr>
                <w:rFonts w:ascii="Consolas" w:cs="Consolas" w:eastAsia="Consolas" w:hAnsi="Consolas"/>
                <w:color w:val="D4D4D4"/>
                <w:sz w:val="16"/>
                <w:szCs w:val="16"/>
              </w:rPr>
              <w:t xml:space="preserve">  rules:</w:t>
            </w:r>
          </w:p>
          <w:p>
            <w:pPr>
              <w:spacing w:after="0"/>
            </w:pPr>
            <w:r>
              <w:rPr>
                <w:rFonts w:ascii="Consolas" w:cs="Consolas" w:eastAsia="Consolas" w:hAnsi="Consolas"/>
                <w:color w:val="D4D4D4"/>
                <w:sz w:val="16"/>
                <w:szCs w:val="16"/>
              </w:rPr>
              <w:t xml:space="preserve">    - resources: ["pods", "pods/exec"]</w:t>
            </w:r>
          </w:p>
          <w:p>
            <w:pPr>
              <w:spacing w:after="0"/>
            </w:pPr>
            <w:r>
              <w:rPr>
                <w:rFonts w:ascii="Consolas" w:cs="Consolas" w:eastAsia="Consolas" w:hAnsi="Consolas"/>
                <w:color w:val="D4D4D4"/>
                <w:sz w:val="16"/>
                <w:szCs w:val="16"/>
              </w:rPr>
              <w:t xml:space="preserve">      verbs: ["get", "list", "watch", "create", "delete"]</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runners:</w:t>
            </w:r>
          </w:p>
          <w:p>
            <w:pPr>
              <w:spacing w:after="0"/>
            </w:pPr>
            <w:r>
              <w:rPr>
                <w:rFonts w:ascii="Consolas" w:cs="Consolas" w:eastAsia="Consolas" w:hAnsi="Consolas"/>
                <w:color w:val="D4D4D4"/>
                <w:sz w:val="16"/>
                <w:szCs w:val="16"/>
              </w:rPr>
              <w:t xml:space="preserve">  config: |</w:t>
            </w:r>
          </w:p>
          <w:p>
            <w:pPr>
              <w:spacing w:after="0"/>
            </w:pPr>
            <w:r>
              <w:rPr>
                <w:rFonts w:ascii="Consolas" w:cs="Consolas" w:eastAsia="Consolas" w:hAnsi="Consolas"/>
                <w:color w:val="D4D4D4"/>
                <w:sz w:val="16"/>
                <w:szCs w:val="16"/>
              </w:rPr>
              <w:t xml:space="preserve">    [[runners]]</w:t>
            </w:r>
          </w:p>
          <w:p>
            <w:pPr>
              <w:spacing w:after="0"/>
            </w:pPr>
            <w:r>
              <w:rPr>
                <w:rFonts w:ascii="Consolas" w:cs="Consolas" w:eastAsia="Consolas" w:hAnsi="Consolas"/>
                <w:color w:val="D4D4D4"/>
                <w:sz w:val="16"/>
                <w:szCs w:val="16"/>
              </w:rPr>
              <w:t xml:space="preserve">      [runners.kubernetes]</w:t>
            </w:r>
          </w:p>
          <w:p>
            <w:pPr>
              <w:spacing w:after="0"/>
            </w:pPr>
            <w:r>
              <w:rPr>
                <w:rFonts w:ascii="Consolas" w:cs="Consolas" w:eastAsia="Consolas" w:hAnsi="Consolas"/>
                <w:color w:val="D4D4D4"/>
                <w:sz w:val="16"/>
                <w:szCs w:val="16"/>
              </w:rPr>
              <w:t xml:space="preserve">        namespace = "gitlab-runners-noprod"</w:t>
            </w:r>
          </w:p>
          <w:p>
            <w:pPr>
              <w:spacing w:after="0"/>
            </w:pPr>
            <w:r>
              <w:rPr>
                <w:rFonts w:ascii="Consolas" w:cs="Consolas" w:eastAsia="Consolas" w:hAnsi="Consolas"/>
                <w:color w:val="D4D4D4"/>
                <w:sz w:val="16"/>
                <w:szCs w:val="16"/>
              </w:rPr>
              <w:t xml:space="preserve">        privileged = false</w:t>
            </w:r>
          </w:p>
          <w:p>
            <w:pPr>
              <w:spacing w:after="0"/>
            </w:pPr>
            <w:r>
              <w:rPr>
                <w:rFonts w:ascii="Consolas" w:cs="Consolas" w:eastAsia="Consolas" w:hAnsi="Consolas"/>
                <w:color w:val="D4D4D4"/>
                <w:sz w:val="16"/>
                <w:szCs w:val="16"/>
              </w:rPr>
              <w:t xml:space="preserve">        allow_privilege_escalation = false</w:t>
            </w:r>
          </w:p>
          <w:p>
            <w:pPr>
              <w:spacing w:after="0"/>
            </w:pPr>
            <w:r>
              <w:rPr>
                <w:rFonts w:ascii="Consolas" w:cs="Consolas" w:eastAsia="Consolas" w:hAnsi="Consolas"/>
                <w:color w:val="D4D4D4"/>
                <w:sz w:val="16"/>
                <w:szCs w:val="16"/>
              </w:rPr>
              <w:t xml:space="preserve">        image = "registry.interna.empresa.com/runner-base:hardened-1.4"</w:t>
            </w:r>
          </w:p>
          <w:p>
            <w:pPr>
              <w:spacing w:after="0"/>
            </w:pPr>
            <w:r>
              <w:rPr>
                <w:rFonts w:ascii="Consolas" w:cs="Consolas" w:eastAsia="Consolas" w:hAnsi="Consolas"/>
                <w:color w:val="D4D4D4"/>
                <w:sz w:val="16"/>
                <w:szCs w:val="16"/>
              </w:rPr>
              <w:t xml:space="preserve">        [runners.kubernetes.pod_security_context]</w:t>
            </w:r>
          </w:p>
          <w:p>
            <w:pPr>
              <w:spacing w:after="0"/>
            </w:pPr>
            <w:r>
              <w:rPr>
                <w:rFonts w:ascii="Consolas" w:cs="Consolas" w:eastAsia="Consolas" w:hAnsi="Consolas"/>
                <w:color w:val="D4D4D4"/>
                <w:sz w:val="16"/>
                <w:szCs w:val="16"/>
              </w:rPr>
              <w:t xml:space="preserve">          run_as_non_root = true</w:t>
            </w:r>
          </w:p>
          <w:p>
            <w:pPr>
              <w:spacing w:after="0"/>
            </w:pPr>
            <w:r>
              <w:rPr>
                <w:rFonts w:ascii="Consolas" w:cs="Consolas" w:eastAsia="Consolas" w:hAnsi="Consolas"/>
                <w:color w:val="D4D4D4"/>
                <w:sz w:val="16"/>
                <w:szCs w:val="16"/>
              </w:rPr>
              <w:t xml:space="preserve">          run_as_user = 1000</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resources:</w:t>
            </w:r>
          </w:p>
          <w:p>
            <w:pPr>
              <w:spacing w:after="0"/>
            </w:pPr>
            <w:r>
              <w:rPr>
                <w:rFonts w:ascii="Consolas" w:cs="Consolas" w:eastAsia="Consolas" w:hAnsi="Consolas"/>
                <w:color w:val="D4D4D4"/>
                <w:sz w:val="16"/>
                <w:szCs w:val="16"/>
              </w:rPr>
              <w:t xml:space="preserve">  requests: { cpu: 200m, memory: 256Mi }</w:t>
            </w:r>
          </w:p>
          <w:p>
            <w:pPr>
              <w:spacing w:after="0"/>
            </w:pPr>
            <w:r>
              <w:rPr>
                <w:rFonts w:ascii="Consolas" w:cs="Consolas" w:eastAsia="Consolas" w:hAnsi="Consolas"/>
                <w:color w:val="D4D4D4"/>
                <w:sz w:val="16"/>
                <w:szCs w:val="16"/>
              </w:rPr>
              <w:t xml:space="preserve">  limits:   { cpu: "1",  memory: 1Gi }</w:t>
            </w:r>
          </w:p>
        </w:tc>
      </w:tr>
    </w:tbl>
    <w:p>
      <w:pPr>
        <w:spacing w:after="200"/>
      </w:pPr>
    </w:p>
    <w:p>
      <w:pPr>
        <w:spacing w:after="100" w:before="200"/>
      </w:pPr>
      <w:r>
        <w:rPr>
          <w:b/>
          <w:bCs/>
        </w:rPr>
        <w:t xml:space="preserve">Paso 2 — Obtención segura del token de registro (fragmento de pipeline de despliegue)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6"/>
                <w:szCs w:val="16"/>
              </w:rPr>
              <w:t xml:space="preserve">deploy-runner:</w:t>
            </w:r>
          </w:p>
          <w:p>
            <w:pPr>
              <w:spacing w:after="0"/>
            </w:pPr>
            <w:r>
              <w:rPr>
                <w:rFonts w:ascii="Consolas" w:cs="Consolas" w:eastAsia="Consolas" w:hAnsi="Consolas"/>
                <w:color w:val="D4D4D4"/>
                <w:sz w:val="16"/>
                <w:szCs w:val="16"/>
              </w:rPr>
              <w:t xml:space="preserve">  stage: deploy</w:t>
            </w:r>
          </w:p>
          <w:p>
            <w:pPr>
              <w:spacing w:after="0"/>
            </w:pPr>
            <w:r>
              <w:rPr>
                <w:rFonts w:ascii="Consolas" w:cs="Consolas" w:eastAsia="Consolas" w:hAnsi="Consolas"/>
                <w:color w:val="D4D4D4"/>
                <w:sz w:val="16"/>
                <w:szCs w:val="16"/>
              </w:rPr>
              <w:t xml:space="preserve">  image: registry.interna.empresa.com/deploy-tools:1.2</w:t>
            </w:r>
          </w:p>
          <w:p>
            <w:pPr>
              <w:spacing w:after="0"/>
            </w:pPr>
            <w:r>
              <w:rPr>
                <w:rFonts w:ascii="Consolas" w:cs="Consolas" w:eastAsia="Consolas" w:hAnsi="Consolas"/>
                <w:color w:val="D4D4D4"/>
                <w:sz w:val="16"/>
                <w:szCs w:val="16"/>
              </w:rPr>
              <w:t xml:space="preserve">  id_tokens:</w:t>
            </w:r>
          </w:p>
          <w:p>
            <w:pPr>
              <w:spacing w:after="0"/>
            </w:pPr>
            <w:r>
              <w:rPr>
                <w:rFonts w:ascii="Consolas" w:cs="Consolas" w:eastAsia="Consolas" w:hAnsi="Consolas"/>
                <w:color w:val="D4D4D4"/>
                <w:sz w:val="16"/>
                <w:szCs w:val="16"/>
              </w:rPr>
              <w:t xml:space="preserve">    VAULT_ID_TOKEN:</w:t>
            </w:r>
          </w:p>
          <w:p>
            <w:pPr>
              <w:spacing w:after="0"/>
            </w:pPr>
            <w:r>
              <w:rPr>
                <w:rFonts w:ascii="Consolas" w:cs="Consolas" w:eastAsia="Consolas" w:hAnsi="Consolas"/>
                <w:color w:val="D4D4D4"/>
                <w:sz w:val="16"/>
                <w:szCs w:val="16"/>
              </w:rPr>
              <w:t xml:space="preserve">      aud: https://vault.empresa.com</w:t>
            </w:r>
          </w:p>
          <w:p>
            <w:pPr>
              <w:spacing w:after="0"/>
            </w:pPr>
            <w:r>
              <w:rPr>
                <w:rFonts w:ascii="Consolas" w:cs="Consolas" w:eastAsia="Consolas" w:hAnsi="Consolas"/>
                <w:color w:val="D4D4D4"/>
                <w:sz w:val="16"/>
                <w:szCs w:val="16"/>
              </w:rPr>
              <w:t xml:space="preserve">  script:</w:t>
            </w:r>
          </w:p>
          <w:p>
            <w:pPr>
              <w:spacing w:after="0"/>
            </w:pPr>
            <w:r>
              <w:rPr>
                <w:rFonts w:ascii="Consolas" w:cs="Consolas" w:eastAsia="Consolas" w:hAnsi="Consolas"/>
                <w:color w:val="D4D4D4"/>
                <w:sz w:val="16"/>
                <w:szCs w:val="16"/>
              </w:rPr>
              <w:t xml:space="preserve">    - export VAULT_TOKEN="$(vault write -field=token auth/jwt/login</w:t>
            </w:r>
          </w:p>
          <w:p>
            <w:pPr>
              <w:spacing w:after="0"/>
            </w:pPr>
            <w:r>
              <w:rPr>
                <w:rFonts w:ascii="Consolas" w:cs="Consolas" w:eastAsia="Consolas" w:hAnsi="Consolas"/>
                <w:color w:val="D4D4D4"/>
                <w:sz w:val="16"/>
                <w:szCs w:val="16"/>
              </w:rPr>
              <w:t xml:space="preserve">        role=gitlab-runner-deployer jwt=$VAULT_ID_TOKEN)"</w:t>
            </w:r>
          </w:p>
          <w:p>
            <w:pPr>
              <w:spacing w:after="0"/>
            </w:pPr>
            <w:r>
              <w:rPr>
                <w:rFonts w:ascii="Consolas" w:cs="Consolas" w:eastAsia="Consolas" w:hAnsi="Consolas"/>
                <w:color w:val="D4D4D4"/>
                <w:sz w:val="16"/>
                <w:szCs w:val="16"/>
              </w:rPr>
              <w:t xml:space="preserve">    - export RUNNER_TOKEN="$(vault kv get -field=token</w:t>
            </w:r>
          </w:p>
          <w:p>
            <w:pPr>
              <w:spacing w:after="0"/>
            </w:pPr>
            <w:r>
              <w:rPr>
                <w:rFonts w:ascii="Consolas" w:cs="Consolas" w:eastAsia="Consolas" w:hAnsi="Consolas"/>
                <w:color w:val="D4D4D4"/>
                <w:sz w:val="16"/>
                <w:szCs w:val="16"/>
              </w:rPr>
              <w:t xml:space="preserve">        secret/gitlab/runners/noprod)"</w:t>
            </w:r>
          </w:p>
          <w:p>
            <w:pPr>
              <w:spacing w:after="0"/>
            </w:pPr>
            <w:r>
              <w:rPr>
                <w:rFonts w:ascii="Consolas" w:cs="Consolas" w:eastAsia="Consolas" w:hAnsi="Consolas"/>
                <w:color w:val="D4D4D4"/>
                <w:sz w:val="16"/>
                <w:szCs w:val="16"/>
              </w:rPr>
              <w:t xml:space="preserve">    - helm upgrade --install gitlab-runner gitlab/gitlab-runner</w:t>
            </w:r>
          </w:p>
          <w:p>
            <w:pPr>
              <w:spacing w:after="0"/>
            </w:pPr>
            <w:r>
              <w:rPr>
                <w:rFonts w:ascii="Consolas" w:cs="Consolas" w:eastAsia="Consolas" w:hAnsi="Consolas"/>
                <w:color w:val="D4D4D4"/>
                <w:sz w:val="16"/>
                <w:szCs w:val="16"/>
              </w:rPr>
              <w:t xml:space="preserve">        --namespace gitlab-runners-noprod --create-namespace</w:t>
            </w:r>
          </w:p>
          <w:p>
            <w:pPr>
              <w:spacing w:after="0"/>
            </w:pPr>
            <w:r>
              <w:rPr>
                <w:rFonts w:ascii="Consolas" w:cs="Consolas" w:eastAsia="Consolas" w:hAnsi="Consolas"/>
                <w:color w:val="D4D4D4"/>
                <w:sz w:val="16"/>
                <w:szCs w:val="16"/>
              </w:rPr>
              <w:t xml:space="preserve">        -f values.yaml</w:t>
            </w:r>
          </w:p>
          <w:p>
            <w:pPr>
              <w:spacing w:after="0"/>
            </w:pPr>
            <w:r>
              <w:rPr>
                <w:rFonts w:ascii="Consolas" w:cs="Consolas" w:eastAsia="Consolas" w:hAnsi="Consolas"/>
                <w:color w:val="D4D4D4"/>
                <w:sz w:val="16"/>
                <w:szCs w:val="16"/>
              </w:rPr>
              <w:t xml:space="preserve">        --set runnerToken="$RUNNER_TOKEN"</w:t>
            </w:r>
          </w:p>
          <w:p>
            <w:pPr>
              <w:spacing w:after="0"/>
            </w:pPr>
            <w:r>
              <w:rPr>
                <w:rFonts w:ascii="Consolas" w:cs="Consolas" w:eastAsia="Consolas" w:hAnsi="Consolas"/>
                <w:color w:val="D4D4D4"/>
                <w:sz w:val="16"/>
                <w:szCs w:val="16"/>
              </w:rPr>
              <w:t xml:space="preserve">  rules:</w:t>
            </w:r>
          </w:p>
          <w:p>
            <w:pPr>
              <w:spacing w:after="0"/>
            </w:pPr>
            <w:r>
              <w:rPr>
                <w:rFonts w:ascii="Consolas" w:cs="Consolas" w:eastAsia="Consolas" w:hAnsi="Consolas"/>
                <w:color w:val="D4D4D4"/>
                <w:sz w:val="16"/>
                <w:szCs w:val="16"/>
              </w:rPr>
              <w:t xml:space="preserve">    - if: '$CI_COMMIT_BRANCH == "main"'</w:t>
            </w:r>
          </w:p>
        </w:tc>
      </w:tr>
    </w:tbl>
    <w:p>
      <w:pPr>
        <w:spacing w:after="200"/>
      </w:pPr>
    </w:p>
    <w:p>
      <w:pPr>
        <w:spacing w:after="100" w:before="200"/>
      </w:pPr>
      <w:r>
        <w:rPr>
          <w:b/>
          <w:bCs/>
        </w:rPr>
        <w:t xml:space="preserve">Paso 3 — Verificación posterior al despliegue (checklist automatizada)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6"/>
                <w:szCs w:val="16"/>
              </w:rPr>
              <w:t xml:space="preserve">#!/usr/bin/env bash</w:t>
            </w:r>
          </w:p>
          <w:p>
            <w:pPr>
              <w:spacing w:after="0"/>
            </w:pPr>
            <w:r>
              <w:rPr>
                <w:rFonts w:ascii="Consolas" w:cs="Consolas" w:eastAsia="Consolas" w:hAnsi="Consolas"/>
                <w:color w:val="D4D4D4"/>
                <w:sz w:val="16"/>
                <w:szCs w:val="16"/>
              </w:rPr>
              <w:t xml:space="preserve">set -euo pipefail</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echo "Verificando que el runner no corre en modo privilegiado..."</w:t>
            </w:r>
          </w:p>
          <w:p>
            <w:pPr>
              <w:spacing w:after="0"/>
            </w:pPr>
            <w:r>
              <w:rPr>
                <w:rFonts w:ascii="Consolas" w:cs="Consolas" w:eastAsia="Consolas" w:hAnsi="Consolas"/>
                <w:color w:val="D4D4D4"/>
                <w:sz w:val="16"/>
                <w:szCs w:val="16"/>
              </w:rPr>
              <w:t xml:space="preserve">kubectl get pod -n gitlab-runners-noprod -o json \</w:t>
            </w:r>
          </w:p>
          <w:p>
            <w:pPr>
              <w:spacing w:after="0"/>
            </w:pPr>
            <w:r>
              <w:rPr>
                <w:rFonts w:ascii="Consolas" w:cs="Consolas" w:eastAsia="Consolas" w:hAnsi="Consolas"/>
                <w:color w:val="D4D4D4"/>
                <w:sz w:val="16"/>
                <w:szCs w:val="16"/>
              </w:rPr>
              <w:t xml:space="preserve">  | jq -e '.items[].spec.containers[].securityContext.privileged != true'</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echo "Verificando ausencia de hostPath..."</w:t>
            </w:r>
          </w:p>
          <w:p>
            <w:pPr>
              <w:spacing w:after="0"/>
            </w:pPr>
            <w:r>
              <w:rPr>
                <w:rFonts w:ascii="Consolas" w:cs="Consolas" w:eastAsia="Consolas" w:hAnsi="Consolas"/>
                <w:color w:val="D4D4D4"/>
                <w:sz w:val="16"/>
                <w:szCs w:val="16"/>
              </w:rPr>
              <w:t xml:space="preserve">kubectl get pod -n gitlab-runners-noprod -o json \</w:t>
            </w:r>
          </w:p>
          <w:p>
            <w:pPr>
              <w:spacing w:after="0"/>
            </w:pPr>
            <w:r>
              <w:rPr>
                <w:rFonts w:ascii="Consolas" w:cs="Consolas" w:eastAsia="Consolas" w:hAnsi="Consolas"/>
                <w:color w:val="D4D4D4"/>
                <w:sz w:val="16"/>
                <w:szCs w:val="16"/>
              </w:rPr>
              <w:t xml:space="preserve">  | jq -e '[.items[].spec.volumes[]? | select(.hostPath)] | length == 0'</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echo "Verificando que no existan secretos en variables de entorno del pod..."</w:t>
            </w:r>
          </w:p>
          <w:p>
            <w:pPr>
              <w:spacing w:after="0"/>
            </w:pPr>
            <w:r>
              <w:rPr>
                <w:rFonts w:ascii="Consolas" w:cs="Consolas" w:eastAsia="Consolas" w:hAnsi="Consolas"/>
                <w:color w:val="D4D4D4"/>
                <w:sz w:val="16"/>
                <w:szCs w:val="16"/>
              </w:rPr>
              <w:t xml:space="preserve">kubectl get pod -n gitlab-runners-noprod -o json \</w:t>
            </w:r>
          </w:p>
          <w:p>
            <w:pPr>
              <w:spacing w:after="0"/>
            </w:pPr>
            <w:r>
              <w:rPr>
                <w:rFonts w:ascii="Consolas" w:cs="Consolas" w:eastAsia="Consolas" w:hAnsi="Consolas"/>
                <w:color w:val="D4D4D4"/>
                <w:sz w:val="16"/>
                <w:szCs w:val="16"/>
              </w:rPr>
              <w:t xml:space="preserve">  | jq -e '[.items[].spec.containers[].env[]? | select(.value != null)</w:t>
            </w:r>
          </w:p>
          <w:p>
            <w:pPr>
              <w:spacing w:after="0"/>
            </w:pPr>
            <w:r>
              <w:rPr>
                <w:rFonts w:ascii="Consolas" w:cs="Consolas" w:eastAsia="Consolas" w:hAnsi="Consolas"/>
                <w:color w:val="D4D4D4"/>
                <w:sz w:val="16"/>
                <w:szCs w:val="16"/>
              </w:rPr>
              <w:t xml:space="preserve">      | select(.name | test("TOKEN|SECRET|PASSWORD"))] | length == 0'</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echo "OK — Runner cumple el estándar de hardening de PLT-001."</w:t>
            </w:r>
          </w:p>
        </w:tc>
      </w:tr>
    </w:tbl>
    <w:p>
      <w:pPr>
        <w:spacing w:after="200" w:line="276"/>
      </w:pPr>
      <w:r>
        <w:t xml:space="preserve">Este playbook se ejecuta de forma automatizada dentro del propio pipeline de despliegue de infraestructura de Plataforma, y su resultado se adjunta como evidencia al registro inmutable de builds definido en SEC-001, sección 7.2.</w:t>
      </w:r>
    </w:p>
    <w:p>
      <w:pPr>
        <w:pBdr>
          <w:top w:val="single" w:color="BFBFBF" w:sz="4"/>
        </w:pBdr>
        <w:spacing w:before="400"/>
      </w:pPr>
    </w:p>
    <w:p>
      <w:pPr>
        <w:spacing w:before="200"/>
      </w:pPr>
      <w:r>
        <w:rPr>
          <w:i/>
          <w:iCs/>
          <w:color w:val="808080"/>
          <w:sz w:val="18"/>
          <w:szCs w:val="18"/>
        </w:rPr>
        <w:t xml:space="preserve">Fin del documento PLT-001 — Documento de Implementación GitLab</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r>
      <w:rPr>
        <w:color w:val="808080"/>
        <w:sz w:val="16"/>
        <w:szCs w:val="16"/>
      </w:rPr>
      <w:t xml:space="preserve">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808080"/>
        <w:sz w:val="16"/>
        <w:szCs w:val="16"/>
      </w:rPr>
      <w:t xml:space="preserve">PLT-001 · Documento de Implementación GitLab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2026-08-03T22:09:25.737Z</dcterms:created>
  <dcterms:modified xsi:type="dcterms:W3CDTF">2026-08-03T22:09:25.737Z</dcterms:modified>
</cp:coreProperties>
</file>

<file path=docProps/custom.xml><?xml version="1.0" encoding="utf-8"?>
<Properties xmlns="http://schemas.openxmlformats.org/officeDocument/2006/custom-properties" xmlns:vt="http://schemas.openxmlformats.org/officeDocument/2006/docPropsVTypes"/>
</file>