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SEC-002</w:t>
      </w:r>
    </w:p>
    <w:p>
      <w:pPr>
        <w:spacing w:after="120" w:before="240"/>
        <w:jc w:val="center"/>
      </w:pPr>
      <w:r>
        <w:rPr>
          <w:b/>
          <w:bCs/>
          <w:color w:val="1F3864"/>
          <w:sz w:val="52"/>
          <w:szCs w:val="52"/>
        </w:rPr>
        <w:t xml:space="preserve">Estándar de Seguridad en Pipelines</w:t>
      </w:r>
    </w:p>
    <w:p>
      <w:pPr>
        <w:spacing w:after="600"/>
        <w:jc w:val="center"/>
      </w:pPr>
      <w:r>
        <w:rPr>
          <w:i/>
          <w:iCs/>
          <w:color w:val="595959"/>
          <w:sz w:val="24"/>
          <w:szCs w:val="24"/>
        </w:rPr>
        <w:t xml:space="preserve">Implementación técnica de SAST, Secret Detection, SCA, Container Scanning y DAST en el pipeline corporativo</w:t>
      </w:r>
    </w:p>
    <w:p>
      <w:pPr>
        <w:spacing w:before="1600"/>
        <w:jc w:val="center"/>
      </w:pPr>
      <w:r>
        <w:rPr>
          <w:color w:val="595959"/>
          <w:sz w:val="22"/>
          <w:szCs w:val="22"/>
        </w:rPr>
        <w:t xml:space="preserve">Versión 1.0  ·  Agosto 2026</w:t>
      </w:r>
    </w:p>
    <w:p>
      <w:pPr>
        <w:jc w:val="center"/>
      </w:pPr>
      <w:r>
        <w:rPr>
          <w:b/>
          <w:bCs/>
          <w:color w:val="C00000"/>
          <w:sz w:val="22"/>
          <w:szCs w:val="22"/>
        </w:rPr>
        <w:t xml:space="preserve">Clasificación: Confidencial</w:t>
      </w:r>
    </w:p>
    <w:p>
      <w:pPr>
        <w:pStyle w:val="Heading1"/>
        <w:pageBreakBefore/>
        <w:spacing w:after="240"/>
      </w:pPr>
      <w:r>
        <w:rPr>
          <w:b/>
          <w:bCs/>
        </w:rPr>
        <w:t xml:space="preserve">1. Control del Documento y Control de Cambios</w:t>
      </w:r>
    </w:p>
    <w:p>
      <w:pPr>
        <w:spacing w:after="200" w:line="276"/>
      </w:pPr>
      <w:r>
        <w:t xml:space="preserve">Este documento especifica la implementación técnica de los controles de seguridad automatizados de SEC-001 dentro de la etapa security del pipeline definido en ENG-002. Su vigencia, distribución y modificaciones están sujetas al proceso de gestión documental de DOC-001.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SEC-002</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Confidencial — Distribución restringida a Seguridad, Plataforma y Administradores de Pipeline (contiene detalles de detección explotables).</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Chief Information Security Officer (CISO)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Trimestral, o ante la incorporación de un nuevo motor de escaneo o cambio en los umbrales de SEC-001.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2026-11-04</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Documentos Relacionados</w:t>
            </w:r>
          </w:p>
        </w:tc>
        <w:tc>
          <w:tcPr>
            <w:tcW w:type="dxa" w:w="7000"/>
            <w:tcMar>
              <w:top w:type="dxa" w:w="80"/>
              <w:left w:type="dxa" w:w="100"/>
              <w:bottom w:type="dxa" w:w="80"/>
              <w:right w:type="dxa" w:w="100"/>
            </w:tcMar>
            <w:vAlign w:val="center"/>
          </w:tcPr>
          <w:p>
            <w:pPr>
              <w:jc w:val="left"/>
            </w:pPr>
            <w:r>
              <w:rPr>
                <w:b w:val="false"/>
                <w:bCs w:val="false"/>
                <w:color w:val="000000"/>
              </w:rPr>
              <w:t xml:space="preserve">SEC-001 (política de seguridad y SLA), ENG-002 (etapa security del pipeline), PLT-001 (hardening de runners), TMP-001 (templates por stack).</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2026-06-22</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Seguridad de la Información (CISO)</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SAST, Secret Detection y SCA en pipelines.</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2026-07-20</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Container Scanning, DAST y configuración de alertamiento.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2026-08-04</w:t>
            </w:r>
          </w:p>
        </w:tc>
        <w:tc>
          <w:tcPr>
            <w:tcW w:type="dxa" w:w="2550"/>
            <w:tcMar>
              <w:top w:type="dxa" w:w="80"/>
              <w:left w:type="dxa" w:w="100"/>
              <w:bottom w:type="dxa" w:w="80"/>
              <w:right w:type="dxa" w:w="100"/>
            </w:tcMar>
            <w:vAlign w:val="center"/>
          </w:tcPr>
          <w:p>
            <w:pPr>
              <w:jc w:val="left"/>
            </w:pPr>
            <w:r>
              <w:rPr>
                <w:b w:val="false"/>
                <w:bCs w:val="false"/>
                <w:color w:val="000000"/>
              </w:rPr>
              <w:t xml:space="preserve">CISO / Head of Platform Engineering</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políticas.</w:t>
            </w:r>
          </w:p>
        </w:tc>
      </w:tr>
    </w:tbl>
    <w:p>
      <w:pPr>
        <w:pStyle w:val="Heading1"/>
        <w:pageBreakBefore/>
        <w:spacing w:after="240" w:before="480"/>
      </w:pPr>
      <w:r>
        <w:rPr>
          <w:b/>
          <w:bCs/>
        </w:rPr>
        <w:t xml:space="preserve">2. Propósito y Principio de Gates Automatizados</w:t>
      </w:r>
    </w:p>
    <w:p>
      <w:pPr>
        <w:spacing w:after="200" w:line="276"/>
      </w:pPr>
      <w:r>
        <w:t xml:space="preserve">Este documento traduce las políticas de SEC-001 en configuración de pipeline concreta y ejecutable. Su principio rector es que ningún control de seguridad depende de la disciplina individual de un desarrollador o revisor: todo control se ejecuta de forma automática, con criterios de bloqueo objetivos y sin posibilidad de omisión silenciosa.</w:t>
      </w:r>
    </w:p>
    <w:p>
      <w:pPr>
        <w:pStyle w:val="ListParagraph"/>
        <w:numPr>
          <w:ilvl w:val="0"/>
          <w:numId w:val="2"/>
        </w:numPr>
        <w:spacing w:after="120"/>
      </w:pPr>
      <w:r>
        <w:rPr>
          <w:b/>
          <w:bCs/>
        </w:rPr>
        <w:t xml:space="preserve">Bloqueo por defecto: </w:t>
      </w:r>
      <w:r>
        <w:t xml:space="preserve">Todo hallazgo de severidad crítica o alta bloquea el pipeline de forma automática; ningún humano puede aprobar su omisión sin dejar un registro de excepción formal (GOB-001, sección 5.2).</w:t>
      </w:r>
    </w:p>
    <w:p>
      <w:pPr>
        <w:pStyle w:val="ListParagraph"/>
        <w:numPr>
          <w:ilvl w:val="0"/>
          <w:numId w:val="2"/>
        </w:numPr>
        <w:spacing w:after="120"/>
      </w:pPr>
      <w:r>
        <w:rPr>
          <w:b/>
          <w:bCs/>
        </w:rPr>
        <w:t xml:space="preserve">Objetividad: </w:t>
      </w:r>
      <w:r>
        <w:t xml:space="preserve">Los criterios de bloqueo (capítulos 3 a 7) son objetivos y verificables por máquina, evitando la ambigüedad de un juicio manual caso por caso.</w:t>
      </w:r>
    </w:p>
    <w:p>
      <w:pPr>
        <w:pStyle w:val="ListParagraph"/>
        <w:numPr>
          <w:ilvl w:val="0"/>
          <w:numId w:val="2"/>
        </w:numPr>
        <w:spacing w:after="120"/>
      </w:pPr>
      <w:r>
        <w:rPr>
          <w:b/>
          <w:bCs/>
        </w:rPr>
        <w:t xml:space="preserve">Defensa en profundidad: </w:t>
      </w:r>
      <w:r>
        <w:t xml:space="preserve">Los cinco controles de esta sección —SAST, Secret Detection, SCA, Container Scanning y DAST— se ejecutan en conjunto y de forma complementaria; ninguno sustituye a los demás.</w:t>
      </w:r>
    </w:p>
    <w:p>
      <w:pPr>
        <w:pStyle w:val="ListParagraph"/>
        <w:numPr>
          <w:ilvl w:val="0"/>
          <w:numId w:val="2"/>
        </w:numPr>
        <w:spacing w:after="120"/>
      </w:pPr>
      <w:r>
        <w:rPr>
          <w:b/>
          <w:bCs/>
        </w:rPr>
        <w:t xml:space="preserve">Respuesta automática ante alto riesgo: </w:t>
      </w:r>
      <w:r>
        <w:t xml:space="preserve">Ante un hallazgo de secreto expuesto, el sistema no espera a la intervención humana antes de iniciar la revocación (sección 4.2), dado el riesgo de explotación inmediata.</w:t>
      </w:r>
    </w:p>
    <w:p>
      <w:pPr>
        <w:pStyle w:val="Heading1"/>
        <w:pageBreakBefore/>
        <w:spacing w:after="240" w:before="480"/>
      </w:pPr>
      <w:r>
        <w:rPr>
          <w:b/>
          <w:bCs/>
        </w:rPr>
        <w:t xml:space="preserve">3. Automatización de Análisis Estático (SAST)</w:t>
      </w:r>
    </w:p>
    <w:p>
      <w:pPr>
        <w:spacing w:after="200" w:line="276"/>
      </w:pPr>
      <w:r>
        <w:t xml:space="preserve">El análisis estático de código examina el código fuente sin ejecutarlo, identificando patrones de vulnerabilidad conocidos antes de que el código llegue a ejecutarse en cualquier ambiente.</w:t>
      </w:r>
    </w:p>
    <w:p>
      <w:pPr>
        <w:pStyle w:val="Heading2"/>
        <w:spacing w:after="180" w:before="360"/>
      </w:pPr>
      <w:r>
        <w:rPr>
          <w:b/>
          <w:bCs/>
        </w:rPr>
        <w:t xml:space="preserve">3.1. Motores Integrados y Reglas Personalizadas</w:t>
      </w:r>
    </w:p>
    <w:p>
      <w:pPr>
        <w:spacing w:after="200" w:line="276"/>
      </w:pPr>
      <w:r>
        <w:t xml:space="preserve">GitLab Ultimate SAST selecciona automáticamente el motor de análisis según el lenguaje detectado en el repositorio. La organización complementa estos motores con reglas personalizadas propias para patrones específicos de su dominio de negocio: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Lenguaje / Stack</w:t>
            </w:r>
          </w:p>
        </w:tc>
        <w:tc>
          <w:tcPr>
            <w:tcW w:type="dxa" w:w="3500"/>
            <w:shd w:fill="1F3864" w:val="clear"/>
            <w:tcMar>
              <w:top w:type="dxa" w:w="80"/>
              <w:left w:type="dxa" w:w="100"/>
              <w:bottom w:type="dxa" w:w="80"/>
              <w:right w:type="dxa" w:w="100"/>
            </w:tcMar>
            <w:vAlign w:val="center"/>
          </w:tcPr>
          <w:p>
            <w:pPr>
              <w:jc w:val="left"/>
            </w:pPr>
            <w:r>
              <w:rPr>
                <w:b/>
                <w:bCs/>
                <w:color w:val="FFFFFF"/>
              </w:rPr>
              <w:t xml:space="preserve">Motor SAST</w:t>
            </w:r>
          </w:p>
        </w:tc>
        <w:tc>
          <w:tcPr>
            <w:tcW w:type="dxa" w:w="3500"/>
            <w:shd w:fill="1F3864" w:val="clear"/>
            <w:tcMar>
              <w:top w:type="dxa" w:w="80"/>
              <w:left w:type="dxa" w:w="100"/>
              <w:bottom w:type="dxa" w:w="80"/>
              <w:right w:type="dxa" w:w="100"/>
            </w:tcMar>
            <w:vAlign w:val="center"/>
          </w:tcPr>
          <w:p>
            <w:pPr>
              <w:jc w:val="left"/>
            </w:pPr>
            <w:r>
              <w:rPr>
                <w:b/>
                <w:bCs/>
                <w:color w:val="FFFFFF"/>
              </w:rPr>
              <w:t xml:space="preserve">Reglas Personalizadas</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Java / Kotlin</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Semgrep (GitLab SAST) + SpotBugs Security</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Reglas corporativas de inyección SQL y deserialización insegura en semgrep-rules/java/</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JavaScript / TypeScript</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Semgrep (GitLab SAST) + ESLint Security Plugin</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Reglas de XSS y uso inseguro de eval() en semgrep-rules/js-ts/</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Python</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Semgrep (GitLab SAST) + Bandit</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Reglas de deserialización pickle insegura en semgrep-rules/python/</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.NET / C#</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Security Code Scan (GitLab SAST)</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Reglas de validación de entrada en controladores en semgrep-rules/dotnet/</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Infraestructura como Código</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KICS / Checkov (GitLab IaC Scanning)</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Reglas de configuración insegura de buckets y grupos de seguridad en semgrep-rules/iac/</w:t>
            </w:r>
          </w:p>
        </w:tc>
      </w:tr>
    </w:tbl>
    <w:p>
      <w:pPr>
        <w:spacing w:after="200" w:line="276"/>
      </w:pPr>
      <w:r>
        <w:t xml:space="preserve">Ejemplo de regla personalizada, correspondiente a la detección de concatenación insegura de SQL en Java: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semgrep-rules/java/sql-injection-string-concat.yml</w:t>
            </w:r>
          </w:p>
          <w:p>
            <w:pPr>
              <w:spacing w:after="0"/>
            </w:pPr>
            <w:r>
              <w:rPr>
                <w:rFonts w:ascii="Consolas" w:cs="Consolas" w:eastAsia="Consolas" w:hAnsi="Consolas"/>
                <w:color w:val="D4D4D4"/>
                <w:sz w:val="16"/>
                <w:szCs w:val="16"/>
              </w:rPr>
              <w:t xml:space="preserve">rules:</w:t>
            </w:r>
          </w:p>
          <w:p>
            <w:pPr>
              <w:spacing w:after="0"/>
            </w:pPr>
            <w:r>
              <w:rPr>
                <w:rFonts w:ascii="Consolas" w:cs="Consolas" w:eastAsia="Consolas" w:hAnsi="Consolas"/>
                <w:color w:val="D4D4D4"/>
                <w:sz w:val="16"/>
                <w:szCs w:val="16"/>
              </w:rPr>
              <w:t xml:space="preserve">  - id: sql-injection-string-concat</w:t>
            </w:r>
          </w:p>
          <w:p>
            <w:pPr>
              <w:spacing w:after="0"/>
            </w:pPr>
            <w:r>
              <w:rPr>
                <w:rFonts w:ascii="Consolas" w:cs="Consolas" w:eastAsia="Consolas" w:hAnsi="Consolas"/>
                <w:color w:val="D4D4D4"/>
                <w:sz w:val="16"/>
                <w:szCs w:val="16"/>
              </w:rPr>
              <w:t xml:space="preserve">    languages: [java]</w:t>
            </w:r>
          </w:p>
          <w:p>
            <w:pPr>
              <w:spacing w:after="0"/>
            </w:pPr>
            <w:r>
              <w:rPr>
                <w:rFonts w:ascii="Consolas" w:cs="Consolas" w:eastAsia="Consolas" w:hAnsi="Consolas"/>
                <w:color w:val="D4D4D4"/>
                <w:sz w:val="16"/>
                <w:szCs w:val="16"/>
              </w:rPr>
              <w:t xml:space="preserve">    severity: ERROR</w:t>
            </w:r>
          </w:p>
          <w:p>
            <w:pPr>
              <w:spacing w:after="0"/>
            </w:pPr>
            <w:r>
              <w:rPr>
                <w:rFonts w:ascii="Consolas" w:cs="Consolas" w:eastAsia="Consolas" w:hAnsi="Consolas"/>
                <w:color w:val="D4D4D4"/>
                <w:sz w:val="16"/>
                <w:szCs w:val="16"/>
              </w:rPr>
              <w:t xml:space="preserve">    message: &gt;</w:t>
            </w:r>
          </w:p>
          <w:p>
            <w:pPr>
              <w:spacing w:after="0"/>
            </w:pPr>
            <w:r>
              <w:rPr>
                <w:rFonts w:ascii="Consolas" w:cs="Consolas" w:eastAsia="Consolas" w:hAnsi="Consolas"/>
                <w:color w:val="D4D4D4"/>
                <w:sz w:val="16"/>
                <w:szCs w:val="16"/>
              </w:rPr>
              <w:t xml:space="preserve">      Concatenación directa de variables en una sentencia SQL.</w:t>
            </w:r>
          </w:p>
          <w:p>
            <w:pPr>
              <w:spacing w:after="0"/>
            </w:pPr>
            <w:r>
              <w:rPr>
                <w:rFonts w:ascii="Consolas" w:cs="Consolas" w:eastAsia="Consolas" w:hAnsi="Consolas"/>
                <w:color w:val="D4D4D4"/>
                <w:sz w:val="16"/>
                <w:szCs w:val="16"/>
              </w:rPr>
              <w:t xml:space="preserve">      Usar PreparedStatement con parámetros vinculados (ver ENG-001</w:t>
            </w:r>
          </w:p>
          <w:p>
            <w:pPr>
              <w:spacing w:after="0"/>
            </w:pPr>
            <w:r>
              <w:rPr>
                <w:rFonts w:ascii="Consolas" w:cs="Consolas" w:eastAsia="Consolas" w:hAnsi="Consolas"/>
                <w:color w:val="D4D4D4"/>
                <w:sz w:val="16"/>
                <w:szCs w:val="16"/>
              </w:rPr>
              <w:t xml:space="preserve">      sección 4.2, manejo de entradas no confiables).</w:t>
            </w:r>
          </w:p>
          <w:p>
            <w:pPr>
              <w:spacing w:after="0"/>
            </w:pPr>
            <w:r>
              <w:rPr>
                <w:rFonts w:ascii="Consolas" w:cs="Consolas" w:eastAsia="Consolas" w:hAnsi="Consolas"/>
                <w:color w:val="D4D4D4"/>
                <w:sz w:val="16"/>
                <w:szCs w:val="16"/>
              </w:rPr>
              <w:t xml:space="preserve">    metadata:</w:t>
            </w:r>
          </w:p>
          <w:p>
            <w:pPr>
              <w:spacing w:after="0"/>
            </w:pPr>
            <w:r>
              <w:rPr>
                <w:rFonts w:ascii="Consolas" w:cs="Consolas" w:eastAsia="Consolas" w:hAnsi="Consolas"/>
                <w:color w:val="D4D4D4"/>
                <w:sz w:val="16"/>
                <w:szCs w:val="16"/>
              </w:rPr>
              <w:t xml:space="preserve">      cwe: "CWE-89"</w:t>
            </w:r>
          </w:p>
          <w:p>
            <w:pPr>
              <w:spacing w:after="0"/>
            </w:pPr>
            <w:r>
              <w:rPr>
                <w:rFonts w:ascii="Consolas" w:cs="Consolas" w:eastAsia="Consolas" w:hAnsi="Consolas"/>
                <w:color w:val="D4D4D4"/>
                <w:sz w:val="16"/>
                <w:szCs w:val="16"/>
              </w:rPr>
              <w:t xml:space="preserve">      owasp: "A03:2021"</w:t>
            </w:r>
          </w:p>
          <w:p>
            <w:pPr>
              <w:spacing w:after="0"/>
            </w:pPr>
            <w:r>
              <w:rPr>
                <w:rFonts w:ascii="Consolas" w:cs="Consolas" w:eastAsia="Consolas" w:hAnsi="Consolas"/>
                <w:color w:val="D4D4D4"/>
                <w:sz w:val="16"/>
                <w:szCs w:val="16"/>
              </w:rPr>
              <w:t xml:space="preserve">    patterns:</w:t>
            </w:r>
          </w:p>
          <w:p>
            <w:pPr>
              <w:spacing w:after="0"/>
            </w:pPr>
            <w:r>
              <w:rPr>
                <w:rFonts w:ascii="Consolas" w:cs="Consolas" w:eastAsia="Consolas" w:hAnsi="Consolas"/>
                <w:color w:val="D4D4D4"/>
                <w:sz w:val="16"/>
                <w:szCs w:val="16"/>
              </w:rPr>
              <w:t xml:space="preserve">      - pattern-either:</w:t>
            </w:r>
          </w:p>
          <w:p>
            <w:pPr>
              <w:spacing w:after="0"/>
            </w:pPr>
            <w:r>
              <w:rPr>
                <w:rFonts w:ascii="Consolas" w:cs="Consolas" w:eastAsia="Consolas" w:hAnsi="Consolas"/>
                <w:color w:val="D4D4D4"/>
                <w:sz w:val="16"/>
                <w:szCs w:val="16"/>
              </w:rPr>
              <w:t xml:space="preserve">          - pattern: $STMT.executeQuery("..." + $VAR)</w:t>
            </w:r>
          </w:p>
          <w:p>
            <w:pPr>
              <w:spacing w:after="0"/>
            </w:pPr>
            <w:r>
              <w:rPr>
                <w:rFonts w:ascii="Consolas" w:cs="Consolas" w:eastAsia="Consolas" w:hAnsi="Consolas"/>
                <w:color w:val="D4D4D4"/>
                <w:sz w:val="16"/>
                <w:szCs w:val="16"/>
              </w:rPr>
              <w:t xml:space="preserve">          - pattern: $STMT.execute("..." + $VAR)</w:t>
            </w:r>
          </w:p>
        </w:tc>
      </w:tr>
    </w:tbl>
    <w:p>
      <w:pPr>
        <w:pStyle w:val="Heading2"/>
        <w:spacing w:after="180" w:before="360"/>
      </w:pPr>
      <w:r>
        <w:rPr>
          <w:b/>
          <w:bCs/>
        </w:rPr>
        <w:t xml:space="preserve">3.2. Criterios de Bloqueo (Quality Gate Fail Conditions)</w:t>
      </w:r>
    </w:p>
    <w:p>
      <w:pPr>
        <w:spacing w:after="200" w:line="276"/>
      </w:pPr>
      <w:r>
        <w:t xml:space="preserve">El bloqueo del pipeline ante un hallazgo SAST sigue la misma escala de severidad CVSS definida en SEC-001, sección 6.1, con reglas diferenciadas según el ambiente de destino del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650"/>
        <w:gridCol w:w="360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rPr>
              <w:t xml:space="preserve">Severidad (CVSS, ver SEC-001 6.1)</w:t>
            </w:r>
          </w:p>
        </w:tc>
        <w:tc>
          <w:tcPr>
            <w:tcW w:type="dxa" w:w="2650"/>
            <w:shd w:fill="1F3864" w:val="clear"/>
            <w:tcMar>
              <w:top w:type="dxa" w:w="80"/>
              <w:left w:type="dxa" w:w="100"/>
              <w:bottom w:type="dxa" w:w="80"/>
              <w:right w:type="dxa" w:w="100"/>
            </w:tcMar>
            <w:vAlign w:val="center"/>
          </w:tcPr>
          <w:p>
            <w:pPr>
              <w:jc w:val="left"/>
            </w:pPr>
            <w:r>
              <w:rPr>
                <w:b/>
                <w:bCs/>
                <w:color w:val="FFFFFF"/>
              </w:rPr>
              <w:t xml:space="preserve">Ambiente de Ejecución</w:t>
            </w:r>
          </w:p>
        </w:tc>
        <w:tc>
          <w:tcPr>
            <w:tcW w:type="dxa" w:w="3600"/>
            <w:shd w:fill="1F3864" w:val="clear"/>
            <w:tcMar>
              <w:top w:type="dxa" w:w="80"/>
              <w:left w:type="dxa" w:w="100"/>
              <w:bottom w:type="dxa" w:w="80"/>
              <w:right w:type="dxa" w:w="100"/>
            </w:tcMar>
            <w:vAlign w:val="center"/>
          </w:tcPr>
          <w:p>
            <w:pPr>
              <w:jc w:val="left"/>
            </w:pPr>
            <w:r>
              <w:rPr>
                <w:b/>
                <w:bCs/>
                <w:color w:val="FFFFFF"/>
              </w:rPr>
              <w:t xml:space="preserve">Acción del Pipeline</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Crítica / Alta</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Cualquiera</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Bloqueo inmediato del Merge Request; el job falla y no puede omitirse.</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Media</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main / release</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Bloqueo; requiere remediación o excepción aprobada (GOB-001, sección 5.2).</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Media</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feature branch</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No bloqueante; se reporta en el MR como advertencia informativa.</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Baja</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Cualquiera</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No bloqueante; se registra en el backlog de deuda de seguridad (ver SEC-001, sección 6.2).</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sast:</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variables:</w:t>
            </w:r>
          </w:p>
          <w:p>
            <w:pPr>
              <w:spacing w:after="0"/>
            </w:pPr>
            <w:r>
              <w:rPr>
                <w:rFonts w:ascii="Consolas" w:cs="Consolas" w:eastAsia="Consolas" w:hAnsi="Consolas"/>
                <w:color w:val="D4D4D4"/>
                <w:sz w:val="16"/>
                <w:szCs w:val="16"/>
              </w:rPr>
              <w:t xml:space="preserve">    SAST_EXCLUDED_PATHS: "test/, docs/, **/*.spec.ts"</w:t>
            </w:r>
          </w:p>
          <w:p>
            <w:pPr>
              <w:spacing w:after="0"/>
            </w:pPr>
            <w:r>
              <w:rPr>
                <w:rFonts w:ascii="Consolas" w:cs="Consolas" w:eastAsia="Consolas" w:hAnsi="Consolas"/>
                <w:color w:val="D4D4D4"/>
                <w:sz w:val="16"/>
                <w:szCs w:val="16"/>
              </w:rPr>
              <w:t xml:space="preserve">  after_script:</w:t>
            </w:r>
          </w:p>
          <w:p>
            <w:pPr>
              <w:spacing w:after="0"/>
            </w:pPr>
            <w:r>
              <w:rPr>
                <w:rFonts w:ascii="Consolas" w:cs="Consolas" w:eastAsia="Consolas" w:hAnsi="Consolas"/>
                <w:color w:val="D4D4D4"/>
                <w:sz w:val="16"/>
                <w:szCs w:val="16"/>
              </w:rPr>
              <w:t xml:space="preserve">    - |</w:t>
            </w:r>
          </w:p>
          <w:p>
            <w:pPr>
              <w:spacing w:after="0"/>
            </w:pPr>
            <w:r>
              <w:rPr>
                <w:rFonts w:ascii="Consolas" w:cs="Consolas" w:eastAsia="Consolas" w:hAnsi="Consolas"/>
                <w:color w:val="D4D4D4"/>
                <w:sz w:val="16"/>
                <w:szCs w:val="16"/>
              </w:rPr>
              <w:t xml:space="preserve">      python3 gate-check.py --report gl-sast-report.json \</w:t>
            </w:r>
          </w:p>
          <w:p>
            <w:pPr>
              <w:spacing w:after="0"/>
            </w:pPr>
            <w:r>
              <w:rPr>
                <w:rFonts w:ascii="Consolas" w:cs="Consolas" w:eastAsia="Consolas" w:hAnsi="Consolas"/>
                <w:color w:val="D4D4D4"/>
                <w:sz w:val="16"/>
                <w:szCs w:val="16"/>
              </w:rPr>
              <w:t xml:space="preserve">        --fail-on critical,high \</w:t>
            </w:r>
          </w:p>
          <w:p>
            <w:pPr>
              <w:spacing w:after="0"/>
            </w:pPr>
            <w:r>
              <w:rPr>
                <w:rFonts w:ascii="Consolas" w:cs="Consolas" w:eastAsia="Consolas" w:hAnsi="Consolas"/>
                <w:color w:val="D4D4D4"/>
                <w:sz w:val="16"/>
                <w:szCs w:val="16"/>
              </w:rPr>
              <w:t xml:space="preserve">        --fail-on-branch-pattern 'main|release/.*:medium'</w:t>
            </w:r>
          </w:p>
        </w:tc>
      </w:tr>
    </w:tbl>
    <w:p>
      <w:pPr>
        <w:pStyle w:val="Heading1"/>
        <w:pageBreakBefore/>
        <w:spacing w:after="240" w:before="480"/>
      </w:pPr>
      <w:r>
        <w:rPr>
          <w:b/>
          <w:bCs/>
        </w:rPr>
        <w:t xml:space="preserve">4. Detección Automatizada de Secretos (Secret Detection)</w:t>
      </w:r>
    </w:p>
    <w:p>
      <w:pPr>
        <w:spacing w:after="200" w:line="276"/>
      </w:pPr>
      <w:r>
        <w:t xml:space="preserve">La detección de secretos analiza cada cambio en busca de credenciales incrustadas, conforme a la prohibición absoluta establecida en SEC-001, sección 5.4. Este control se ejecuta sin excepción en el 100 % de los pipelines, incluyendo ramas de feature.</w:t>
      </w:r>
    </w:p>
    <w:p>
      <w:pPr>
        <w:pStyle w:val="Heading2"/>
        <w:spacing w:after="180" w:before="360"/>
      </w:pPr>
      <w:r>
        <w:rPr>
          <w:b/>
          <w:bCs/>
        </w:rPr>
        <w:t xml:space="preserve">4.1. Patrones de Expresiones Regulares Corporativos y Estándar</w:t>
      </w:r>
    </w:p>
    <w:p>
      <w:pPr>
        <w:spacing w:after="200" w:line="276"/>
      </w:pPr>
      <w:r>
        <w:t xml:space="preserve">Además del conjunto de patrones estándar de GitLab, la organización mantiene patrones adicionales propios para credenciales de sistemas internos. Por razones de seguridad, este documento describe las categorías de patrones a nivel general y no expone las expresiones regulares literales, que se mantienen en el repositorio interno de reglas de Seguridad: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rPr>
              <w:t xml:space="preserve">Categoría</w:t>
            </w:r>
          </w:p>
        </w:tc>
        <w:tc>
          <w:tcPr>
            <w:tcW w:type="dxa" w:w="6250"/>
            <w:shd w:fill="1F3864" w:val="clear"/>
            <w:tcMar>
              <w:top w:type="dxa" w:w="80"/>
              <w:left w:type="dxa" w:w="100"/>
              <w:bottom w:type="dxa" w:w="80"/>
              <w:right w:type="dxa" w:w="100"/>
            </w:tcMar>
            <w:vAlign w:val="center"/>
          </w:tcPr>
          <w:p>
            <w:pPr>
              <w:jc w:val="left"/>
            </w:pPr>
            <w:r>
              <w:rPr>
                <w:b/>
                <w:bCs/>
                <w:color w:val="FFFFFF"/>
              </w:rPr>
              <w:t xml:space="preserve">Ejemplo de Patrón (descripción, no literal)</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Llaves de proveedor cloud</w:t>
            </w:r>
          </w:p>
        </w:tc>
        <w:tc>
          <w:tcPr>
            <w:tcW w:type="dxa" w:w="6250"/>
            <w:shd w:fill="FFFFFF" w:val="clear"/>
            <w:tcMar>
              <w:top w:type="dxa" w:w="80"/>
              <w:left w:type="dxa" w:w="100"/>
              <w:bottom w:type="dxa" w:w="80"/>
              <w:right w:type="dxa" w:w="100"/>
            </w:tcMar>
            <w:vAlign w:val="center"/>
          </w:tcPr>
          <w:p>
            <w:pPr>
              <w:jc w:val="left"/>
            </w:pPr>
            <w:r>
              <w:rPr>
                <w:b w:val="false"/>
                <w:bCs w:val="false"/>
                <w:color w:val="000000"/>
              </w:rPr>
              <w:t xml:space="preserve">Prefijos y longitudes estándar de llaves de acceso AWS/Azure/GCP, validados por checksum cuando el proveedor lo soporta.</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Tokens de GitLab / GitHub</w:t>
            </w:r>
          </w:p>
        </w:tc>
        <w:tc>
          <w:tcPr>
            <w:tcW w:type="dxa" w:w="6250"/>
            <w:shd w:fill="F2F2F2" w:val="clear"/>
            <w:tcMar>
              <w:top w:type="dxa" w:w="80"/>
              <w:left w:type="dxa" w:w="100"/>
              <w:bottom w:type="dxa" w:w="80"/>
              <w:right w:type="dxa" w:w="100"/>
            </w:tcMar>
            <w:vAlign w:val="center"/>
          </w:tcPr>
          <w:p>
            <w:pPr>
              <w:jc w:val="left"/>
            </w:pPr>
            <w:r>
              <w:rPr>
                <w:b w:val="false"/>
                <w:bCs w:val="false"/>
                <w:color w:val="000000"/>
              </w:rPr>
              <w:t xml:space="preserve">Prefijos oficiales de tokens de acceso personal y de proyecto de las plataformas homologadas.</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Cadenas de conexión a base de datos</w:t>
            </w:r>
          </w:p>
        </w:tc>
        <w:tc>
          <w:tcPr>
            <w:tcW w:type="dxa" w:w="6250"/>
            <w:shd w:fill="FFFFFF" w:val="clear"/>
            <w:tcMar>
              <w:top w:type="dxa" w:w="80"/>
              <w:left w:type="dxa" w:w="100"/>
              <w:bottom w:type="dxa" w:w="80"/>
              <w:right w:type="dxa" w:w="100"/>
            </w:tcMar>
            <w:vAlign w:val="center"/>
          </w:tcPr>
          <w:p>
            <w:pPr>
              <w:jc w:val="left"/>
            </w:pPr>
            <w:r>
              <w:rPr>
                <w:b w:val="false"/>
                <w:bCs w:val="false"/>
                <w:color w:val="000000"/>
              </w:rPr>
              <w:t xml:space="preserve">URIs con credenciales embebidas (usuario:contraseña@host) para los motores de base de datos corporativos.</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rPr>
              <w:t xml:space="preserve">Llaves privadas criptográficas</w:t>
            </w:r>
          </w:p>
        </w:tc>
        <w:tc>
          <w:tcPr>
            <w:tcW w:type="dxa" w:w="6250"/>
            <w:shd w:fill="F2F2F2" w:val="clear"/>
            <w:tcMar>
              <w:top w:type="dxa" w:w="80"/>
              <w:left w:type="dxa" w:w="100"/>
              <w:bottom w:type="dxa" w:w="80"/>
              <w:right w:type="dxa" w:w="100"/>
            </w:tcMar>
            <w:vAlign w:val="center"/>
          </w:tcPr>
          <w:p>
            <w:pPr>
              <w:jc w:val="left"/>
            </w:pPr>
            <w:r>
              <w:rPr>
                <w:b w:val="false"/>
                <w:bCs w:val="false"/>
                <w:color w:val="000000"/>
              </w:rPr>
              <w:t xml:space="preserve">Bloques PEM de llaves privadas RSA/EC y certificados con clave privada incluida.</w:t>
            </w:r>
          </w:p>
        </w:tc>
      </w:tr>
      <w:tr>
        <w:tc>
          <w:tcPr>
            <w:tcW w:type="dxa" w:w="3100"/>
            <w:shd w:fill="FFFFFF" w:val="clear"/>
            <w:tcMar>
              <w:top w:type="dxa" w:w="80"/>
              <w:left w:type="dxa" w:w="100"/>
              <w:bottom w:type="dxa" w:w="80"/>
              <w:right w:type="dxa" w:w="100"/>
            </w:tcMar>
            <w:vAlign w:val="center"/>
          </w:tcPr>
          <w:p>
            <w:pPr>
              <w:jc w:val="left"/>
            </w:pPr>
            <w:r>
              <w:rPr>
                <w:b w:val="false"/>
                <w:bCs w:val="false"/>
                <w:color w:val="000000"/>
              </w:rPr>
              <w:t xml:space="preserve">Tokens genéricos de alta entropía</w:t>
            </w:r>
          </w:p>
        </w:tc>
        <w:tc>
          <w:tcPr>
            <w:tcW w:type="dxa" w:w="6250"/>
            <w:shd w:fill="FFFFFF" w:val="clear"/>
            <w:tcMar>
              <w:top w:type="dxa" w:w="80"/>
              <w:left w:type="dxa" w:w="100"/>
              <w:bottom w:type="dxa" w:w="80"/>
              <w:right w:type="dxa" w:w="100"/>
            </w:tcMar>
            <w:vAlign w:val="center"/>
          </w:tcPr>
          <w:p>
            <w:pPr>
              <w:jc w:val="left"/>
            </w:pPr>
            <w:r>
              <w:rPr>
                <w:b w:val="false"/>
                <w:bCs w:val="false"/>
                <w:color w:val="000000"/>
              </w:rPr>
              <w:t xml:space="preserve">Cadenas alfanuméricas de alta entropía en asignaciones a variables con nombres sensibles (token, secret, password, api_key).</w:t>
            </w:r>
          </w:p>
        </w:tc>
      </w:tr>
    </w:tbl>
    <w:p>
      <w:pPr>
        <w:pStyle w:val="Heading2"/>
        <w:spacing w:after="180" w:before="360"/>
      </w:pPr>
      <w:r>
        <w:rPr>
          <w:b/>
          <w:bCs/>
        </w:rPr>
        <w:t xml:space="preserve">4.2. Acciones Inmediatas ante un Hallazgo (Revocación Automática)</w:t>
      </w:r>
    </w:p>
    <w:p>
      <w:pPr>
        <w:spacing w:after="200" w:line="276"/>
      </w:pPr>
      <w:r>
        <w:t xml:space="preserve">A diferencia de otros controles de esta política, un secreto expuesto dispara una respuesta automatizada inmediata, sin esperar confirmación humana, dado que cada minuto de exposición incrementa el riesgo de explotación: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850"/>
        <w:gridCol w:w="2600"/>
      </w:tblGrid>
      <w:tr>
        <w:trPr>
          <w:tblHeader/>
        </w:trPr>
        <w:tc>
          <w:tcPr>
            <w:tcW w:type="dxa" w:w="700"/>
            <w:shd w:fill="1F3864" w:val="clear"/>
            <w:tcMar>
              <w:top w:type="dxa" w:w="80"/>
              <w:left w:type="dxa" w:w="100"/>
              <w:bottom w:type="dxa" w:w="80"/>
              <w:right w:type="dxa" w:w="100"/>
            </w:tcMar>
            <w:vAlign w:val="center"/>
          </w:tcPr>
          <w:p>
            <w:pPr>
              <w:jc w:val="left"/>
            </w:pPr>
            <w:r>
              <w:rPr>
                <w:b/>
                <w:bCs/>
                <w:color w:val="FFFFFF"/>
              </w:rPr>
              <w:t xml:space="preserve">Paso</w:t>
            </w:r>
          </w:p>
        </w:tc>
        <w:tc>
          <w:tcPr>
            <w:tcW w:type="dxa" w:w="4200"/>
            <w:shd w:fill="1F3864" w:val="clear"/>
            <w:tcMar>
              <w:top w:type="dxa" w:w="80"/>
              <w:left w:type="dxa" w:w="100"/>
              <w:bottom w:type="dxa" w:w="80"/>
              <w:right w:type="dxa" w:w="100"/>
            </w:tcMar>
            <w:vAlign w:val="center"/>
          </w:tcPr>
          <w:p>
            <w:pPr>
              <w:jc w:val="left"/>
            </w:pPr>
            <w:r>
              <w:rPr>
                <w:b/>
                <w:bCs/>
                <w:color w:val="FFFFFF"/>
              </w:rPr>
              <w:t xml:space="preserve">Acción</w:t>
            </w:r>
          </w:p>
        </w:tc>
        <w:tc>
          <w:tcPr>
            <w:tcW w:type="dxa" w:w="1850"/>
            <w:shd w:fill="1F3864" w:val="clear"/>
            <w:tcMar>
              <w:top w:type="dxa" w:w="80"/>
              <w:left w:type="dxa" w:w="100"/>
              <w:bottom w:type="dxa" w:w="80"/>
              <w:right w:type="dxa" w:w="100"/>
            </w:tcMar>
            <w:vAlign w:val="center"/>
          </w:tcPr>
          <w:p>
            <w:pPr>
              <w:jc w:val="left"/>
            </w:pPr>
            <w:r>
              <w:rPr>
                <w:b/>
                <w:bCs/>
                <w:color w:val="FFFFFF"/>
              </w:rPr>
              <w:t xml:space="preserve">Tiempo Objetivo</w:t>
            </w:r>
          </w:p>
        </w:tc>
        <w:tc>
          <w:tcPr>
            <w:tcW w:type="dxa" w:w="2600"/>
            <w:shd w:fill="1F3864" w:val="clear"/>
            <w:tcMar>
              <w:top w:type="dxa" w:w="80"/>
              <w:left w:type="dxa" w:w="100"/>
              <w:bottom w:type="dxa" w:w="80"/>
              <w:right w:type="dxa" w:w="100"/>
            </w:tcMar>
            <w:vAlign w:val="center"/>
          </w:tcPr>
          <w:p>
            <w:pPr>
              <w:jc w:val="left"/>
            </w:pPr>
            <w:r>
              <w:rPr>
                <w:b/>
                <w:bCs/>
                <w:color w:val="FFFFFF"/>
              </w:rPr>
              <w:t xml:space="preserve">Responsable</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rPr>
              <w:t xml:space="preserve">1</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El pipeline bloquea el push/MR y notifica al canal de seguridad y al autor del commit.</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Inmediato</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Automatizado</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2</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Se dispara automáticamente la revocación o rotación de la credencial expuesta en el proveedor correspondiente (Vault, IAM, base de datos), sin esperar confirmación humana si existe integración automatizada disponible.</w:t>
            </w:r>
          </w:p>
        </w:tc>
        <w:tc>
          <w:tcPr>
            <w:tcW w:type="dxa" w:w="1850"/>
            <w:shd w:fill="F2F2F2" w:val="clear"/>
            <w:tcMar>
              <w:top w:type="dxa" w:w="80"/>
              <w:left w:type="dxa" w:w="100"/>
              <w:bottom w:type="dxa" w:w="80"/>
              <w:right w:type="dxa" w:w="100"/>
            </w:tcMar>
            <w:vAlign w:val="center"/>
          </w:tcPr>
          <w:p>
            <w:pPr>
              <w:jc w:val="left"/>
            </w:pPr>
            <w:r>
              <w:rPr>
                <w:b w:val="false"/>
                <w:bCs w:val="false"/>
                <w:color w:val="000000"/>
              </w:rPr>
              <w:t xml:space="preserve">≤ 15 minutos</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Automatizado (Vault / Cloud IAM)</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rPr>
              <w:t xml:space="preserve">3</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Se declara un incidente de seguridad conforme a OPS-001, sección 4.1, con prioridad mínima P2 independientemente de si la credencial fue explotada.</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 15 minutos</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Ingeniero de guardia</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rPr>
              <w:t xml:space="preserve">4</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Se purga el secreto del historial de commits mediante reescritura de historial coordinada, si el repositorio ya lo fusionó.</w:t>
            </w:r>
          </w:p>
        </w:tc>
        <w:tc>
          <w:tcPr>
            <w:tcW w:type="dxa" w:w="1850"/>
            <w:shd w:fill="F2F2F2" w:val="clear"/>
            <w:tcMar>
              <w:top w:type="dxa" w:w="80"/>
              <w:left w:type="dxa" w:w="100"/>
              <w:bottom w:type="dxa" w:w="80"/>
              <w:right w:type="dxa" w:w="100"/>
            </w:tcMar>
            <w:vAlign w:val="center"/>
          </w:tcPr>
          <w:p>
            <w:pPr>
              <w:jc w:val="left"/>
            </w:pPr>
            <w:r>
              <w:rPr>
                <w:b w:val="false"/>
                <w:bCs w:val="false"/>
                <w:color w:val="000000"/>
              </w:rPr>
              <w:t xml:space="preserve">≤ 4 horas</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Equipo de Seguridad + Administrador de Plataforma</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rPr>
              <w:t xml:space="preserve">5</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Se documenta un post-mortem breve, incluso si la exposición fue de corta duración, conforme a la plantilla de OPS-001, anexo 7.1.</w:t>
            </w:r>
          </w:p>
        </w:tc>
        <w:tc>
          <w:tcPr>
            <w:tcW w:type="dxa" w:w="1850"/>
            <w:shd w:fill="FFFFFF" w:val="clear"/>
            <w:tcMar>
              <w:top w:type="dxa" w:w="80"/>
              <w:left w:type="dxa" w:w="100"/>
              <w:bottom w:type="dxa" w:w="80"/>
              <w:right w:type="dxa" w:w="100"/>
            </w:tcMar>
            <w:vAlign w:val="center"/>
          </w:tcPr>
          <w:p>
            <w:pPr>
              <w:jc w:val="left"/>
            </w:pPr>
            <w:r>
              <w:rPr>
                <w:b w:val="false"/>
                <w:bCs w:val="false"/>
                <w:color w:val="000000"/>
              </w:rPr>
              <w:t xml:space="preserve">≤ 3 días hábiles</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Equipo propietario del repositorio</w:t>
            </w:r>
          </w:p>
        </w:tc>
      </w:tr>
    </w:tbl>
    <w:p>
      <w:pPr>
        <w:spacing w:after="200" w:line="276"/>
      </w:pPr>
      <w:r>
        <w:t xml:space="preserve">Fragmento de referencia del script de revocación automática, invocado por el job secret_detection ante un hallazgo confirmado: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#!/usr/bin/env bash</w:t>
            </w:r>
          </w:p>
          <w:p>
            <w:pPr>
              <w:spacing w:after="0"/>
            </w:pPr>
            <w:r>
              <w:rPr>
                <w:rFonts w:ascii="Consolas" w:cs="Consolas" w:eastAsia="Consolas" w:hAnsi="Consolas"/>
                <w:color w:val="D4D4D4"/>
                <w:sz w:val="16"/>
                <w:szCs w:val="16"/>
              </w:rPr>
              <w:t xml:space="preserve"># Disparado automáticamente por el job secret_detection ante un hallazgo</w:t>
            </w:r>
          </w:p>
          <w:p>
            <w:pPr>
              <w:spacing w:after="0"/>
            </w:pPr>
            <w:r>
              <w:rPr>
                <w:rFonts w:ascii="Consolas" w:cs="Consolas" w:eastAsia="Consolas" w:hAnsi="Consolas"/>
                <w:color w:val="D4D4D4"/>
                <w:sz w:val="16"/>
                <w:szCs w:val="16"/>
              </w:rPr>
              <w:t xml:space="preserve">set -euo pipefail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SECRET_TYPE="$1"   # ej: aws-access-key, vault-token, db-connection-string</w:t>
            </w:r>
          </w:p>
          <w:p>
            <w:pPr>
              <w:spacing w:after="0"/>
            </w:pPr>
            <w:r>
              <w:rPr>
                <w:rFonts w:ascii="Consolas" w:cs="Consolas" w:eastAsia="Consolas" w:hAnsi="Consolas"/>
                <w:color w:val="D4D4D4"/>
                <w:sz w:val="16"/>
                <w:szCs w:val="16"/>
              </w:rPr>
              <w:t xml:space="preserve">SECRET_ID="$2"</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case "$SECRET_TYPE" in</w:t>
            </w:r>
          </w:p>
          <w:p>
            <w:pPr>
              <w:spacing w:after="0"/>
            </w:pPr>
            <w:r>
              <w:rPr>
                <w:rFonts w:ascii="Consolas" w:cs="Consolas" w:eastAsia="Consolas" w:hAnsi="Consolas"/>
                <w:color w:val="D4D4D4"/>
                <w:sz w:val="16"/>
                <w:szCs w:val="16"/>
              </w:rPr>
              <w:t xml:space="preserve">  aws-access-key)</w:t>
            </w:r>
          </w:p>
          <w:p>
            <w:pPr>
              <w:spacing w:after="0"/>
            </w:pPr>
            <w:r>
              <w:rPr>
                <w:rFonts w:ascii="Consolas" w:cs="Consolas" w:eastAsia="Consolas" w:hAnsi="Consolas"/>
                <w:color w:val="D4D4D4"/>
                <w:sz w:val="16"/>
                <w:szCs w:val="16"/>
              </w:rPr>
              <w:t xml:space="preserve">    aws iam update-access-key --access-key-id "$SECRET_ID" --status Inactive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vault-token)</w:t>
            </w:r>
          </w:p>
          <w:p>
            <w:pPr>
              <w:spacing w:after="0"/>
            </w:pPr>
            <w:r>
              <w:rPr>
                <w:rFonts w:ascii="Consolas" w:cs="Consolas" w:eastAsia="Consolas" w:hAnsi="Consolas"/>
                <w:color w:val="D4D4D4"/>
                <w:sz w:val="16"/>
                <w:szCs w:val="16"/>
              </w:rPr>
              <w:t xml:space="preserve">    vault token revoke "$SECRET_ID"</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db-connection-string)</w:t>
            </w:r>
          </w:p>
          <w:p>
            <w:pPr>
              <w:spacing w:after="0"/>
            </w:pPr>
            <w:r>
              <w:rPr>
                <w:rFonts w:ascii="Consolas" w:cs="Consolas" w:eastAsia="Consolas" w:hAnsi="Consolas"/>
                <w:color w:val="D4D4D4"/>
                <w:sz w:val="16"/>
                <w:szCs w:val="16"/>
              </w:rPr>
              <w:t xml:space="preserve">    vault write database/rotate-root/"$SECRET_ID"</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esac</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curl -X POST "$INCIDENT_WEBHOOK_URL" \</w:t>
            </w:r>
          </w:p>
          <w:p>
            <w:pPr>
              <w:spacing w:after="0"/>
            </w:pPr>
            <w:r>
              <w:rPr>
                <w:rFonts w:ascii="Consolas" w:cs="Consolas" w:eastAsia="Consolas" w:hAnsi="Consolas"/>
                <w:color w:val="D4D4D4"/>
                <w:sz w:val="16"/>
                <w:szCs w:val="16"/>
              </w:rPr>
              <w:t xml:space="preserve">  -d "{\"priority\":\"P2\",\"source\":\"secret_detection\",</w:t>
            </w:r>
          </w:p>
          <w:p>
            <w:pPr>
              <w:spacing w:after="0"/>
            </w:pPr>
            <w:r>
              <w:rPr>
                <w:rFonts w:ascii="Consolas" w:cs="Consolas" w:eastAsia="Consolas" w:hAnsi="Consolas"/>
                <w:color w:val="D4D4D4"/>
                <w:sz w:val="16"/>
                <w:szCs w:val="16"/>
              </w:rPr>
              <w:t xml:space="preserve">       \"type\":\"$SECRET_TYPE\"}"</w:t>
            </w:r>
          </w:p>
        </w:tc>
      </w:tr>
    </w:tbl>
    <w:p>
      <w:pPr>
        <w:pStyle w:val="Heading1"/>
        <w:pageBreakBefore/>
        <w:spacing w:after="240" w:before="480"/>
      </w:pPr>
      <w:r>
        <w:rPr>
          <w:b/>
          <w:bCs/>
        </w:rPr>
        <w:t xml:space="preserve">5. Análisis de Vulnerabilidades en Dependencias (SCA / Dependency Scanning)</w:t>
      </w:r>
    </w:p>
    <w:p>
      <w:pPr>
        <w:spacing w:after="200" w:line="276"/>
      </w:pPr>
      <w:r>
        <w:t xml:space="preserve">Este capítulo detalla la implementación técnica del control de Software Composition Analysis descrito en SEC-001, sección 5.3, cubriendo tanto el riesgo de licenciamiento como el riesgo de vulnerabilidades conocidas (CVE).</w:t>
      </w:r>
    </w:p>
    <w:p>
      <w:pPr>
        <w:pStyle w:val="Heading2"/>
        <w:spacing w:after="180" w:before="360"/>
      </w:pPr>
      <w:r>
        <w:rPr>
          <w:b/>
          <w:bCs/>
        </w:rPr>
        <w:t xml:space="preserve">5.1. Escaneo de Licencias Software No Permitidas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200"/>
        <w:gridCol w:w="35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Categoría</w:t>
            </w:r>
          </w:p>
        </w:tc>
        <w:tc>
          <w:tcPr>
            <w:tcW w:type="dxa" w:w="3200"/>
            <w:shd w:fill="1F3864" w:val="clear"/>
            <w:tcMar>
              <w:top w:type="dxa" w:w="80"/>
              <w:left w:type="dxa" w:w="100"/>
              <w:bottom w:type="dxa" w:w="80"/>
              <w:right w:type="dxa" w:w="100"/>
            </w:tcMar>
            <w:vAlign w:val="center"/>
          </w:tcPr>
          <w:p>
            <w:pPr>
              <w:jc w:val="left"/>
            </w:pPr>
            <w:r>
              <w:rPr>
                <w:b/>
                <w:bCs/>
                <w:color w:val="FFFFFF"/>
              </w:rPr>
              <w:t xml:space="preserve">Licencias</w:t>
            </w:r>
          </w:p>
        </w:tc>
        <w:tc>
          <w:tcPr>
            <w:tcW w:type="dxa" w:w="3500"/>
            <w:shd w:fill="1F3864" w:val="clear"/>
            <w:tcMar>
              <w:top w:type="dxa" w:w="80"/>
              <w:left w:type="dxa" w:w="100"/>
              <w:bottom w:type="dxa" w:w="80"/>
              <w:right w:type="dxa" w:w="100"/>
            </w:tcMar>
            <w:vAlign w:val="center"/>
          </w:tcPr>
          <w:p>
            <w:pPr>
              <w:jc w:val="left"/>
            </w:pPr>
            <w:r>
              <w:rPr>
                <w:b/>
                <w:bCs/>
                <w:color w:val="FFFFFF"/>
              </w:rPr>
              <w:t xml:space="preserve">Política</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Permitidas sin restricción</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MIT, Apache-2.0, BSD-2-Clause, BSD-3-Clause, ISC</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Uso libre en cualquier proyecto.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Permitidas con revisión Legal</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MPL-2.0, LGPL-2.1, LGPL-3.0</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Requieren confirmación de que el modelo de distribución del software de la organización no activa obligaciones de copyleft.</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Prohibidas por defecto</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GPL-2.0, GPL-3.0, AGPL-3.0, SSPL</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Bloquean el pipeline; requieren excepción explícita de Legal y Seguridad conforme a GOB-001, sección 5.2.</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Desconocida / sin licencia declarada</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N/A</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Se trata como Prohibida hasta que se determine la licencia real.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license_scanning:</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variables:</w:t>
            </w:r>
          </w:p>
          <w:p>
            <w:pPr>
              <w:spacing w:after="0"/>
            </w:pPr>
            <w:r>
              <w:rPr>
                <w:rFonts w:ascii="Consolas" w:cs="Consolas" w:eastAsia="Consolas" w:hAnsi="Consolas"/>
                <w:color w:val="D4D4D4"/>
                <w:sz w:val="16"/>
                <w:szCs w:val="16"/>
              </w:rPr>
              <w:t xml:space="preserve">    LICENSE_FINDER_CLI_OPTS: '--decisions-file .license-decisions.yml'</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'$CI_PIPELINE_SOURCE == "merge_request_event"'</w:t>
            </w:r>
          </w:p>
          <w:p>
            <w:pPr>
              <w:spacing w:after="0"/>
            </w:pPr>
            <w:r>
              <w:rPr>
                <w:rFonts w:ascii="Consolas" w:cs="Consolas" w:eastAsia="Consolas" w:hAnsi="Consolas"/>
                <w:color w:val="D4D4D4"/>
                <w:sz w:val="16"/>
                <w:szCs w:val="16"/>
              </w:rPr>
              <w:t xml:space="preserve">    - if: '$CI_COMMIT_BRANCH == "main"'</w:t>
            </w:r>
          </w:p>
        </w:tc>
      </w:tr>
    </w:tbl>
    <w:p>
      <w:pPr>
        <w:pStyle w:val="Heading2"/>
        <w:spacing w:after="180" w:before="360"/>
      </w:pPr>
      <w:r>
        <w:rPr>
          <w:b/>
          <w:bCs/>
        </w:rPr>
        <w:t xml:space="preserve">5.2. Identificación de CVEs y Matriz de Bloqueo según Severidad</w:t>
      </w:r>
    </w:p>
    <w:p>
      <w:pPr>
        <w:spacing w:after="200" w:line="276"/>
      </w:pPr>
      <w:r>
        <w:t xml:space="preserve">El bloqueo por CVE combina la severidad CVSS con la explotabilidad conocida (por ejemplo, presencia en el catálogo CISA KEV o un puntaje EPSS elevado), endureciendo el criterio de bloqueo cuando existe evidencia de explotación activa en el mundo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900"/>
      </w:tblGrid>
      <w:tr>
        <w:trPr>
          <w:tblHeader/>
        </w:trPr>
        <w:tc>
          <w:tcPr>
            <w:tcW w:type="dxa" w:w="1750"/>
            <w:shd w:fill="1F3864" w:val="clear"/>
            <w:tcMar>
              <w:top w:type="dxa" w:w="80"/>
              <w:left w:type="dxa" w:w="100"/>
              <w:bottom w:type="dxa" w:w="80"/>
              <w:right w:type="dxa" w:w="100"/>
            </w:tcMar>
            <w:vAlign w:val="center"/>
          </w:tcPr>
          <w:p>
            <w:pPr>
              <w:jc w:val="center"/>
            </w:pPr>
            <w:r>
              <w:rPr>
                <w:b/>
                <w:bCs/>
                <w:color w:val="FFFFFF"/>
              </w:rPr>
              <w:t xml:space="preserve">Severidad CVE</w:t>
            </w:r>
          </w:p>
        </w:tc>
        <w:tc>
          <w:tcPr>
            <w:tcW w:type="dxa" w:w="2900"/>
            <w:shd w:fill="1F3864" w:val="clear"/>
            <w:tcMar>
              <w:top w:type="dxa" w:w="80"/>
              <w:left w:type="dxa" w:w="100"/>
              <w:bottom w:type="dxa" w:w="80"/>
              <w:right w:type="dxa" w:w="100"/>
            </w:tcMar>
            <w:vAlign w:val="center"/>
          </w:tcPr>
          <w:p>
            <w:pPr>
              <w:jc w:val="center"/>
            </w:pPr>
            <w:r>
              <w:rPr>
                <w:b/>
                <w:bCs/>
                <w:color w:val="FFFFFF"/>
              </w:rPr>
              <w:t xml:space="preserve">Explotabilidad Conocida (KEV/EPSS alto)</w:t>
            </w:r>
          </w:p>
        </w:tc>
        <w:tc>
          <w:tcPr>
            <w:tcW w:type="dxa" w:w="2900"/>
            <w:shd w:fill="1F3864" w:val="clear"/>
            <w:tcMar>
              <w:top w:type="dxa" w:w="80"/>
              <w:left w:type="dxa" w:w="100"/>
              <w:bottom w:type="dxa" w:w="80"/>
              <w:right w:type="dxa" w:w="100"/>
            </w:tcMar>
            <w:vAlign w:val="center"/>
          </w:tcPr>
          <w:p>
            <w:pPr>
              <w:jc w:val="center"/>
            </w:pPr>
            <w:r>
              <w:rPr>
                <w:b/>
                <w:bCs/>
                <w:color w:val="FFFFFF"/>
              </w:rPr>
              <w:t xml:space="preserve">Sin Explotabilidad Conocida</w:t>
            </w:r>
          </w:p>
        </w:tc>
      </w:tr>
      <w:tr>
        <w:tc>
          <w:tcPr>
            <w:tcW w:type="dxa" w:w="1750"/>
            <w:shd w:fill="FFC7CE" w:val="clear"/>
            <w:tcMar>
              <w:top w:type="dxa" w:w="80"/>
              <w:left w:type="dxa" w:w="100"/>
              <w:bottom w:type="dxa" w:w="80"/>
              <w:right w:type="dxa" w:w="100"/>
            </w:tcMar>
            <w:vAlign w:val="center"/>
          </w:tcPr>
          <w:p>
            <w:pPr>
              <w:jc w:val="center"/>
            </w:pPr>
            <w:r>
              <w:rPr>
                <w:b/>
                <w:bCs/>
                <w:color w:val="9C0006"/>
              </w:rPr>
              <w:t xml:space="preserve">Critica</w:t>
            </w:r>
          </w:p>
        </w:tc>
        <w:tc>
          <w:tcPr>
            <w:tcW w:type="dxa" w:w="2900"/>
            <w:tcMar>
              <w:top w:type="dxa" w:w="80"/>
              <w:left w:type="dxa" w:w="100"/>
              <w:bottom w:type="dxa" w:w="80"/>
              <w:right w:type="dxa" w:w="100"/>
            </w:tcMar>
            <w:vAlign w:val="center"/>
          </w:tcPr>
          <w:p>
            <w:pPr>
              <w:jc w:val="left"/>
            </w:pPr>
            <w:r>
              <w:rPr>
                <w:b w:val="false"/>
                <w:bCs w:val="false"/>
                <w:color w:val="000000"/>
              </w:rPr>
              <w:t xml:space="preserve">Bloqueo inmediato en todos los ambientes</w:t>
            </w:r>
          </w:p>
        </w:tc>
        <w:tc>
          <w:tcPr>
            <w:tcW w:type="dxa" w:w="2900"/>
            <w:tcMar>
              <w:top w:type="dxa" w:w="80"/>
              <w:left w:type="dxa" w:w="100"/>
              <w:bottom w:type="dxa" w:w="80"/>
              <w:right w:type="dxa" w:w="100"/>
            </w:tcMar>
            <w:vAlign w:val="center"/>
          </w:tcPr>
          <w:p>
            <w:pPr>
              <w:jc w:val="left"/>
            </w:pPr>
            <w:r>
              <w:rPr>
                <w:b w:val="false"/>
                <w:bCs w:val="false"/>
                <w:color w:val="000000"/>
              </w:rPr>
              <w:t xml:space="preserve">Bloqueo en main/release (SEC-001, sección 6.2)</w:t>
            </w:r>
          </w:p>
        </w:tc>
      </w:tr>
      <w:tr>
        <w:tc>
          <w:tcPr>
            <w:tcW w:type="dxa" w:w="1750"/>
            <w:shd w:fill="FCE4E4" w:val="clear"/>
            <w:tcMar>
              <w:top w:type="dxa" w:w="80"/>
              <w:left w:type="dxa" w:w="100"/>
              <w:bottom w:type="dxa" w:w="80"/>
              <w:right w:type="dxa" w:w="100"/>
            </w:tcMar>
            <w:vAlign w:val="center"/>
          </w:tcPr>
          <w:p>
            <w:pPr>
              <w:jc w:val="center"/>
            </w:pPr>
            <w:r>
              <w:rPr>
                <w:b/>
                <w:bCs/>
                <w:color w:val="C00000"/>
              </w:rPr>
              <w:t xml:space="preserve">Alta</w:t>
            </w:r>
          </w:p>
        </w:tc>
        <w:tc>
          <w:tcPr>
            <w:tcW w:type="dxa" w:w="2900"/>
            <w:tcMar>
              <w:top w:type="dxa" w:w="80"/>
              <w:left w:type="dxa" w:w="100"/>
              <w:bottom w:type="dxa" w:w="80"/>
              <w:right w:type="dxa" w:w="100"/>
            </w:tcMar>
            <w:vAlign w:val="center"/>
          </w:tcPr>
          <w:p>
            <w:pPr>
              <w:jc w:val="left"/>
            </w:pPr>
            <w:r>
              <w:rPr>
                <w:b w:val="false"/>
                <w:bCs w:val="false"/>
                <w:color w:val="000000"/>
              </w:rPr>
              <w:t xml:space="preserve">Bloqueo inmediato en todos los ambientes</w:t>
            </w:r>
          </w:p>
        </w:tc>
        <w:tc>
          <w:tcPr>
            <w:tcW w:type="dxa" w:w="2900"/>
            <w:tcMar>
              <w:top w:type="dxa" w:w="80"/>
              <w:left w:type="dxa" w:w="100"/>
              <w:bottom w:type="dxa" w:w="80"/>
              <w:right w:type="dxa" w:w="100"/>
            </w:tcMar>
            <w:vAlign w:val="center"/>
          </w:tcPr>
          <w:p>
            <w:pPr>
              <w:jc w:val="left"/>
            </w:pPr>
            <w:r>
              <w:rPr>
                <w:b w:val="false"/>
                <w:bCs w:val="false"/>
                <w:color w:val="000000"/>
              </w:rPr>
              <w:t xml:space="preserve">Bloqueo en main/release; advertencia en feature</w:t>
            </w:r>
          </w:p>
        </w:tc>
      </w:tr>
      <w:tr>
        <w:tc>
          <w:tcPr>
            <w:tcW w:type="dxa" w:w="1750"/>
            <w:shd w:fill="FFF2CC" w:val="clear"/>
            <w:tcMar>
              <w:top w:type="dxa" w:w="80"/>
              <w:left w:type="dxa" w:w="100"/>
              <w:bottom w:type="dxa" w:w="80"/>
              <w:right w:type="dxa" w:w="100"/>
            </w:tcMar>
            <w:vAlign w:val="center"/>
          </w:tcPr>
          <w:p>
            <w:pPr>
              <w:jc w:val="center"/>
            </w:pPr>
            <w:r>
              <w:rPr>
                <w:b/>
                <w:bCs/>
                <w:color w:val="7F6000"/>
              </w:rPr>
              <w:t xml:space="preserve">Media</w:t>
            </w:r>
          </w:p>
        </w:tc>
        <w:tc>
          <w:tcPr>
            <w:tcW w:type="dxa" w:w="2900"/>
            <w:tcMar>
              <w:top w:type="dxa" w:w="80"/>
              <w:left w:type="dxa" w:w="100"/>
              <w:bottom w:type="dxa" w:w="80"/>
              <w:right w:type="dxa" w:w="100"/>
            </w:tcMar>
            <w:vAlign w:val="center"/>
          </w:tcPr>
          <w:p>
            <w:pPr>
              <w:jc w:val="left"/>
            </w:pPr>
            <w:r>
              <w:rPr>
                <w:b w:val="false"/>
                <w:bCs w:val="false"/>
                <w:color w:val="000000"/>
              </w:rPr>
              <w:t xml:space="preserve">Bloqueo en main/release</w:t>
            </w:r>
          </w:p>
        </w:tc>
        <w:tc>
          <w:tcPr>
            <w:tcW w:type="dxa" w:w="2900"/>
            <w:tcMar>
              <w:top w:type="dxa" w:w="80"/>
              <w:left w:type="dxa" w:w="100"/>
              <w:bottom w:type="dxa" w:w="80"/>
              <w:right w:type="dxa" w:w="100"/>
            </w:tcMar>
            <w:vAlign w:val="center"/>
          </w:tcPr>
          <w:p>
            <w:pPr>
              <w:jc w:val="left"/>
            </w:pPr>
            <w:r>
              <w:rPr>
                <w:b w:val="false"/>
                <w:bCs w:val="false"/>
                <w:color w:val="000000"/>
              </w:rPr>
              <w:t xml:space="preserve">Advertencia informativa</w:t>
            </w:r>
          </w:p>
        </w:tc>
      </w:tr>
      <w:tr>
        <w:tc>
          <w:tcPr>
            <w:tcW w:type="dxa" w:w="1750"/>
            <w:shd w:fill="E2EFDA" w:val="clear"/>
            <w:tcMar>
              <w:top w:type="dxa" w:w="80"/>
              <w:left w:type="dxa" w:w="100"/>
              <w:bottom w:type="dxa" w:w="80"/>
              <w:right w:type="dxa" w:w="100"/>
            </w:tcMar>
            <w:vAlign w:val="center"/>
          </w:tcPr>
          <w:p>
            <w:pPr>
              <w:jc w:val="center"/>
            </w:pPr>
            <w:r>
              <w:rPr>
                <w:b/>
                <w:bCs/>
                <w:color w:val="375623"/>
              </w:rPr>
              <w:t xml:space="preserve">Baja</w:t>
            </w:r>
          </w:p>
        </w:tc>
        <w:tc>
          <w:tcPr>
            <w:tcW w:type="dxa" w:w="2900"/>
            <w:tcMar>
              <w:top w:type="dxa" w:w="80"/>
              <w:left w:type="dxa" w:w="100"/>
              <w:bottom w:type="dxa" w:w="80"/>
              <w:right w:type="dxa" w:w="100"/>
            </w:tcMar>
            <w:vAlign w:val="center"/>
          </w:tcPr>
          <w:p>
            <w:pPr>
              <w:jc w:val="left"/>
            </w:pPr>
            <w:r>
              <w:rPr>
                <w:b w:val="false"/>
                <w:bCs w:val="false"/>
                <w:color w:val="000000"/>
              </w:rPr>
              <w:t xml:space="preserve">Advertencia informativa</w:t>
            </w:r>
          </w:p>
        </w:tc>
        <w:tc>
          <w:tcPr>
            <w:tcW w:type="dxa" w:w="2900"/>
            <w:tcMar>
              <w:top w:type="dxa" w:w="80"/>
              <w:left w:type="dxa" w:w="100"/>
              <w:bottom w:type="dxa" w:w="80"/>
              <w:right w:type="dxa" w:w="100"/>
            </w:tcMar>
            <w:vAlign w:val="center"/>
          </w:tcPr>
          <w:p>
            <w:pPr>
              <w:jc w:val="left"/>
            </w:pPr>
            <w:r>
              <w:rPr>
                <w:b w:val="false"/>
                <w:bCs w:val="false"/>
                <w:color w:val="000000"/>
              </w:rPr>
              <w:t xml:space="preserve">Registrado en backlog de seguridad</w:t>
            </w:r>
          </w:p>
        </w:tc>
      </w:tr>
    </w:tbl>
    <w:p>
      <w:pPr>
        <w:pStyle w:val="Heading1"/>
        <w:pageBreakBefore/>
        <w:spacing w:after="240" w:before="480"/>
      </w:pPr>
      <w:r>
        <w:rPr>
          <w:b/>
          <w:bCs/>
        </w:rPr>
        <w:t xml:space="preserve">6. Escaneo de Vulnerabilidades en Imágenes de Contenedor</w:t>
      </w:r>
    </w:p>
    <w:p>
      <w:pPr>
        <w:spacing w:after="200" w:line="276"/>
      </w:pPr>
      <w:r>
        <w:t xml:space="preserve">Todo artefacto empaquetado como imagen de contenedor se analiza antes y después de su publicación, complementando el hardening de imágenes base ya definido en PLT-001, sección 5.3.</w:t>
      </w:r>
    </w:p>
    <w:p>
      <w:pPr>
        <w:pStyle w:val="Heading2"/>
        <w:spacing w:after="180" w:before="360"/>
      </w:pPr>
      <w:r>
        <w:rPr>
          <w:b/>
          <w:bCs/>
        </w:rPr>
        <w:t xml:space="preserve">6.1. Análisis de Capas Base y Bibliotecas del Sistema Operativo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5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rPr>
              <w:t xml:space="preserve">Componente Analizado</w:t>
            </w:r>
          </w:p>
        </w:tc>
        <w:tc>
          <w:tcPr>
            <w:tcW w:type="dxa" w:w="3300"/>
            <w:shd w:fill="1F3864" w:val="clear"/>
            <w:tcMar>
              <w:top w:type="dxa" w:w="80"/>
              <w:left w:type="dxa" w:w="100"/>
              <w:bottom w:type="dxa" w:w="80"/>
              <w:right w:type="dxa" w:w="100"/>
            </w:tcMar>
            <w:vAlign w:val="center"/>
          </w:tcPr>
          <w:p>
            <w:pPr>
              <w:jc w:val="left"/>
            </w:pPr>
            <w:r>
              <w:rPr>
                <w:b/>
                <w:bCs/>
                <w:color w:val="FFFFFF"/>
              </w:rPr>
              <w:t xml:space="preserve">Herramienta</w:t>
            </w:r>
          </w:p>
        </w:tc>
        <w:tc>
          <w:tcPr>
            <w:tcW w:type="dxa" w:w="2850"/>
            <w:shd w:fill="1F3864" w:val="clear"/>
            <w:tcMar>
              <w:top w:type="dxa" w:w="80"/>
              <w:left w:type="dxa" w:w="100"/>
              <w:bottom w:type="dxa" w:w="80"/>
              <w:right w:type="dxa" w:w="100"/>
            </w:tcMar>
            <w:vAlign w:val="center"/>
          </w:tcPr>
          <w:p>
            <w:pPr>
              <w:jc w:val="left"/>
            </w:pPr>
            <w:r>
              <w:rPr>
                <w:b/>
                <w:bCs/>
                <w:color w:val="FFFFFF"/>
              </w:rPr>
              <w:t xml:space="preserve">Frecuencia</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Capa base del sistema operativo</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Trivy / GitLab Container Scanning</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En cada build y de forma programada diaria sobre imágenes ya publicadas.</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Paquetes del sistema operativo (apt/apk/yum)</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Trivy</w:t>
            </w:r>
          </w:p>
        </w:tc>
        <w:tc>
          <w:tcPr>
            <w:tcW w:type="dxa" w:w="2850"/>
            <w:shd w:fill="F2F2F2" w:val="clear"/>
            <w:tcMar>
              <w:top w:type="dxa" w:w="80"/>
              <w:left w:type="dxa" w:w="100"/>
              <w:bottom w:type="dxa" w:w="80"/>
              <w:right w:type="dxa" w:w="100"/>
            </w:tcMar>
            <w:vAlign w:val="center"/>
          </w:tcPr>
          <w:p>
            <w:pPr>
              <w:jc w:val="left"/>
            </w:pPr>
            <w:r>
              <w:rPr>
                <w:b w:val="false"/>
                <w:bCs w:val="false"/>
                <w:color w:val="000000"/>
              </w:rPr>
              <w:t xml:space="preserve">En cada build.</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Dependencias de aplicación embebidas en la imagen</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Grype (complementario a Dependency Scanning de la sección 5)</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En cada build.</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Configuración del Dockerfile (hardening)</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Hadolint</w:t>
            </w:r>
          </w:p>
        </w:tc>
        <w:tc>
          <w:tcPr>
            <w:tcW w:type="dxa" w:w="2850"/>
            <w:shd w:fill="F2F2F2" w:val="clear"/>
            <w:tcMar>
              <w:top w:type="dxa" w:w="80"/>
              <w:left w:type="dxa" w:w="100"/>
              <w:bottom w:type="dxa" w:w="80"/>
              <w:right w:type="dxa" w:w="100"/>
            </w:tcMar>
            <w:vAlign w:val="center"/>
          </w:tcPr>
          <w:p>
            <w:pPr>
              <w:jc w:val="left"/>
            </w:pPr>
            <w:r>
              <w:rPr>
                <w:b w:val="false"/>
                <w:bCs w:val="false"/>
                <w:color w:val="000000"/>
              </w:rPr>
              <w:t xml:space="preserve">En cada build, como parte de la etapa build (ver ENG-002, sección 3.1).</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Firma y procedencia de la imagen</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Cosign / Sigstore</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En cada publicación al registro (ver SEC-001, sección 7.2).</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container_scanning:</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needs: ["package-image"]</w:t>
            </w:r>
          </w:p>
          <w:p>
            <w:pPr>
              <w:spacing w:after="0"/>
            </w:pPr>
            <w:r>
              <w:rPr>
                <w:rFonts w:ascii="Consolas" w:cs="Consolas" w:eastAsia="Consolas" w:hAnsi="Consolas"/>
                <w:color w:val="D4D4D4"/>
                <w:sz w:val="16"/>
                <w:szCs w:val="16"/>
              </w:rPr>
              <w:t xml:space="preserve">  variables:</w:t>
            </w:r>
          </w:p>
          <w:p>
            <w:pPr>
              <w:spacing w:after="0"/>
            </w:pPr>
            <w:r>
              <w:rPr>
                <w:rFonts w:ascii="Consolas" w:cs="Consolas" w:eastAsia="Consolas" w:hAnsi="Consolas"/>
                <w:color w:val="D4D4D4"/>
                <w:sz w:val="16"/>
                <w:szCs w:val="16"/>
              </w:rPr>
              <w:t xml:space="preserve">    CS_IMAGE: $CI_REGISTRY_IMAGE:$CI_COMMIT_SHORT_SHA</w:t>
            </w:r>
          </w:p>
          <w:p>
            <w:pPr>
              <w:spacing w:after="0"/>
            </w:pPr>
            <w:r>
              <w:rPr>
                <w:rFonts w:ascii="Consolas" w:cs="Consolas" w:eastAsia="Consolas" w:hAnsi="Consolas"/>
                <w:color w:val="D4D4D4"/>
                <w:sz w:val="16"/>
                <w:szCs w:val="16"/>
              </w:rPr>
              <w:t xml:space="preserve">    CS_SEVERITY_THRESHOLD: MEDIUM</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when: always</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scheduled-image-rescan:</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script: ["trivy image --severity CRITICAL,HIGH $CS_IMAGE"]</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'$CI_PIPELINE_SOURCE == "schedule"'</w:t>
            </w:r>
          </w:p>
        </w:tc>
      </w:tr>
    </w:tbl>
    <w:p>
      <w:pPr>
        <w:spacing w:after="200" w:line="276"/>
      </w:pPr>
      <w:r>
        <w:t xml:space="preserve">El job programado (scheduled-image-rescan) es especialmente relevante para detectar CVEs revelados después de la construcción de la imagen, cuando esta ya se encuentra desplegada; su hallazgo activa el mismo SLA de remediación de SEC-001, sección 6.2, contado desde la fecha de detección, no desde la fecha de construcción original.</w:t>
      </w:r>
    </w:p>
    <w:p>
      <w:pPr>
        <w:pStyle w:val="Heading1"/>
        <w:pageBreakBefore/>
        <w:spacing w:after="240" w:before="480"/>
      </w:pPr>
      <w:r>
        <w:rPr>
          <w:b/>
          <w:bCs/>
        </w:rPr>
        <w:t xml:space="preserve">7. Automatización de Análisis Dinámico (DAST)</w:t>
      </w:r>
    </w:p>
    <w:p>
      <w:pPr>
        <w:spacing w:after="200" w:line="276"/>
      </w:pPr>
      <w:r>
        <w:t xml:space="preserve">El análisis dinámico ejecuta pruebas contra la aplicación en funcionamiento, complementando el análisis estático al detectar vulnerabilidades que solo se manifiestan en tiempo de ejecución (configuración de servidor, cabeceras HTTP, comportamiento de sesión).</w:t>
      </w:r>
    </w:p>
    <w:p>
      <w:pPr>
        <w:pStyle w:val="Heading2"/>
        <w:spacing w:after="180" w:before="360"/>
      </w:pPr>
      <w:r>
        <w:rPr>
          <w:b/>
          <w:bCs/>
        </w:rPr>
        <w:t xml:space="preserve">7.1. Configuración de Escaneos Pasivos y Activos en Entornos Pre-Productivos</w:t>
      </w:r>
    </w:p>
    <w:p>
      <w:pPr>
        <w:spacing w:after="200" w:line="276"/>
      </w:pPr>
      <w:r>
        <w:t xml:space="preserve">DAST se ejecuta exclusivamente contra ambientes de preproducción, nunca contra producción, para evitar el riesgo de disrupción de servicio que implica un escaneo activo: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8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rPr>
              <w:t xml:space="preserve">Tipo de Escaneo</w:t>
            </w:r>
          </w:p>
        </w:tc>
        <w:tc>
          <w:tcPr>
            <w:tcW w:type="dxa" w:w="4600"/>
            <w:shd w:fill="1F3864" w:val="clear"/>
            <w:tcMar>
              <w:top w:type="dxa" w:w="80"/>
              <w:left w:type="dxa" w:w="100"/>
              <w:bottom w:type="dxa" w:w="80"/>
              <w:right w:type="dxa" w:w="100"/>
            </w:tcMar>
            <w:vAlign w:val="center"/>
          </w:tcPr>
          <w:p>
            <w:pPr>
              <w:jc w:val="left"/>
            </w:pPr>
            <w:r>
              <w:rPr>
                <w:b/>
                <w:bCs/>
                <w:color w:val="FFFFFF"/>
              </w:rPr>
              <w:t xml:space="preserve">Alcance</w:t>
            </w:r>
          </w:p>
        </w:tc>
        <w:tc>
          <w:tcPr>
            <w:tcW w:type="dxa" w:w="2850"/>
            <w:shd w:fill="1F3864" w:val="clear"/>
            <w:tcMar>
              <w:top w:type="dxa" w:w="80"/>
              <w:left w:type="dxa" w:w="100"/>
              <w:bottom w:type="dxa" w:w="80"/>
              <w:right w:type="dxa" w:w="100"/>
            </w:tcMar>
            <w:vAlign w:val="center"/>
          </w:tcPr>
          <w:p>
            <w:pPr>
              <w:jc w:val="left"/>
            </w:pPr>
            <w:r>
              <w:rPr>
                <w:b/>
                <w:bCs/>
                <w:color w:val="FFFFFF"/>
              </w:rPr>
              <w:t xml:space="preserve">Cuándo se Ejecuta</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Pasivo</w:t>
            </w:r>
          </w:p>
        </w:tc>
        <w:tc>
          <w:tcPr>
            <w:tcW w:type="dxa" w:w="4600"/>
            <w:shd w:fill="FFFFFF" w:val="clear"/>
            <w:tcMar>
              <w:top w:type="dxa" w:w="80"/>
              <w:left w:type="dxa" w:w="100"/>
              <w:bottom w:type="dxa" w:w="80"/>
              <w:right w:type="dxa" w:w="100"/>
            </w:tcMar>
            <w:vAlign w:val="center"/>
          </w:tcPr>
          <w:p>
            <w:pPr>
              <w:jc w:val="left"/>
            </w:pPr>
            <w:r>
              <w:rPr>
                <w:b w:val="false"/>
                <w:bCs w:val="false"/>
                <w:color w:val="000000"/>
              </w:rPr>
              <w:t xml:space="preserve">Observa el tráfico generado por las pruebas smoke/funcionales sin enviar payloads adicionales; identifica cabeceras inseguras, cookies sin flags y exposición de información.</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En cada despliegue a preproducción (post-deploy, ver ENG-002, sección 3.6).</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Activo</w:t>
            </w:r>
          </w:p>
        </w:tc>
        <w:tc>
          <w:tcPr>
            <w:tcW w:type="dxa" w:w="4600"/>
            <w:shd w:fill="F2F2F2" w:val="clear"/>
            <w:tcMar>
              <w:top w:type="dxa" w:w="80"/>
              <w:left w:type="dxa" w:w="100"/>
              <w:bottom w:type="dxa" w:w="80"/>
              <w:right w:type="dxa" w:w="100"/>
            </w:tcMar>
            <w:vAlign w:val="center"/>
          </w:tcPr>
          <w:p>
            <w:pPr>
              <w:jc w:val="left"/>
            </w:pPr>
            <w:r>
              <w:rPr>
                <w:b w:val="false"/>
                <w:bCs w:val="false"/>
                <w:color w:val="000000"/>
              </w:rPr>
              <w:t xml:space="preserve">Envía payloads de prueba (inyección, XSS) contra los endpoints descubiertos, simulando un atacante real.</w:t>
            </w:r>
          </w:p>
        </w:tc>
        <w:tc>
          <w:tcPr>
            <w:tcW w:type="dxa" w:w="2850"/>
            <w:shd w:fill="F2F2F2" w:val="clear"/>
            <w:tcMar>
              <w:top w:type="dxa" w:w="80"/>
              <w:left w:type="dxa" w:w="100"/>
              <w:bottom w:type="dxa" w:w="80"/>
              <w:right w:type="dxa" w:w="100"/>
            </w:tcMar>
            <w:vAlign w:val="center"/>
          </w:tcPr>
          <w:p>
            <w:pPr>
              <w:jc w:val="left"/>
            </w:pPr>
            <w:r>
              <w:rPr>
                <w:b w:val="false"/>
                <w:bCs w:val="false"/>
                <w:color w:val="000000"/>
              </w:rPr>
              <w:t xml:space="preserve">En cada despliegue a preproducción, nunca directamente contra producción.</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Autenticado</w:t>
            </w:r>
          </w:p>
        </w:tc>
        <w:tc>
          <w:tcPr>
            <w:tcW w:type="dxa" w:w="4600"/>
            <w:shd w:fill="FFFFFF" w:val="clear"/>
            <w:tcMar>
              <w:top w:type="dxa" w:w="80"/>
              <w:left w:type="dxa" w:w="100"/>
              <w:bottom w:type="dxa" w:w="80"/>
              <w:right w:type="dxa" w:w="100"/>
            </w:tcMar>
            <w:vAlign w:val="center"/>
          </w:tcPr>
          <w:p>
            <w:pPr>
              <w:jc w:val="left"/>
            </w:pPr>
            <w:r>
              <w:rPr>
                <w:b w:val="false"/>
                <w:bCs w:val="false"/>
                <w:color w:val="000000"/>
              </w:rPr>
              <w:t xml:space="preserve">Ejecuta el escaneo activo utilizando una sesión autenticada de prueba, ampliando la cobertura a endpoints protegidos.</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Semanal, programado, sobre el ambiente de preproducción estable.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dast:</w:t>
            </w:r>
          </w:p>
          <w:p>
            <w:pPr>
              <w:spacing w:after="0"/>
            </w:pPr>
            <w:r>
              <w:rPr>
                <w:rFonts w:ascii="Consolas" w:cs="Consolas" w:eastAsia="Consolas" w:hAnsi="Consolas"/>
                <w:color w:val="D4D4D4"/>
                <w:sz w:val="16"/>
                <w:szCs w:val="16"/>
              </w:rPr>
              <w:t xml:space="preserve">  stage: post-deploy</w:t>
            </w:r>
          </w:p>
          <w:p>
            <w:pPr>
              <w:spacing w:after="0"/>
            </w:pPr>
            <w:r>
              <w:rPr>
                <w:rFonts w:ascii="Consolas" w:cs="Consolas" w:eastAsia="Consolas" w:hAnsi="Consolas"/>
                <w:color w:val="D4D4D4"/>
                <w:sz w:val="16"/>
                <w:szCs w:val="16"/>
              </w:rPr>
              <w:t xml:space="preserve">  needs: ["deploy-preprod"]</w:t>
            </w:r>
          </w:p>
          <w:p>
            <w:pPr>
              <w:spacing w:after="0"/>
            </w:pPr>
            <w:r>
              <w:rPr>
                <w:rFonts w:ascii="Consolas" w:cs="Consolas" w:eastAsia="Consolas" w:hAnsi="Consolas"/>
                <w:color w:val="D4D4D4"/>
                <w:sz w:val="16"/>
                <w:szCs w:val="16"/>
              </w:rPr>
              <w:t xml:space="preserve">  variables:</w:t>
            </w:r>
          </w:p>
          <w:p>
            <w:pPr>
              <w:spacing w:after="0"/>
            </w:pPr>
            <w:r>
              <w:rPr>
                <w:rFonts w:ascii="Consolas" w:cs="Consolas" w:eastAsia="Consolas" w:hAnsi="Consolas"/>
                <w:color w:val="D4D4D4"/>
                <w:sz w:val="16"/>
                <w:szCs w:val="16"/>
              </w:rPr>
              <w:t xml:space="preserve">    DAST_WEBSITE: https://preprod.empresa.internal</w:t>
            </w:r>
          </w:p>
          <w:p>
            <w:pPr>
              <w:spacing w:after="0"/>
            </w:pPr>
            <w:r>
              <w:rPr>
                <w:rFonts w:ascii="Consolas" w:cs="Consolas" w:eastAsia="Consolas" w:hAnsi="Consolas"/>
                <w:color w:val="D4D4D4"/>
                <w:sz w:val="16"/>
                <w:szCs w:val="16"/>
              </w:rPr>
              <w:t xml:space="preserve">    DAST_FULL_SCAN_ENABLED: "true"</w:t>
            </w:r>
          </w:p>
          <w:p>
            <w:pPr>
              <w:spacing w:after="0"/>
            </w:pPr>
            <w:r>
              <w:rPr>
                <w:rFonts w:ascii="Consolas" w:cs="Consolas" w:eastAsia="Consolas" w:hAnsi="Consolas"/>
                <w:color w:val="D4D4D4"/>
                <w:sz w:val="16"/>
                <w:szCs w:val="16"/>
              </w:rPr>
              <w:t xml:space="preserve">    DAST_AUTH_URL: https://preprod.empresa.internal/login</w:t>
            </w:r>
          </w:p>
          <w:p>
            <w:pPr>
              <w:spacing w:after="0"/>
            </w:pPr>
            <w:r>
              <w:rPr>
                <w:rFonts w:ascii="Consolas" w:cs="Consolas" w:eastAsia="Consolas" w:hAnsi="Consolas"/>
                <w:color w:val="D4D4D4"/>
                <w:sz w:val="16"/>
                <w:szCs w:val="16"/>
              </w:rPr>
              <w:t xml:space="preserve">    DAST_USERNAME: "$DAST_TEST_USER"       # inyectado vía Vault</w:t>
            </w:r>
          </w:p>
          <w:p>
            <w:pPr>
              <w:spacing w:after="0"/>
            </w:pPr>
            <w:r>
              <w:rPr>
                <w:rFonts w:ascii="Consolas" w:cs="Consolas" w:eastAsia="Consolas" w:hAnsi="Consolas"/>
                <w:color w:val="D4D4D4"/>
                <w:sz w:val="16"/>
                <w:szCs w:val="16"/>
              </w:rPr>
              <w:t xml:space="preserve">    DAST_PASSWORD: "$DAST_TEST_PASSWORD"   # inyectado vía Vault</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'$CI_ENVIRONMENT_NAME == "preprod"'</w:t>
            </w:r>
          </w:p>
          <w:p>
            <w:pPr>
              <w:spacing w:after="0"/>
            </w:pPr>
            <w:r>
              <w:rPr>
                <w:rFonts w:ascii="Consolas" w:cs="Consolas" w:eastAsia="Consolas" w:hAnsi="Consolas"/>
                <w:color w:val="D4D4D4"/>
                <w:sz w:val="16"/>
                <w:szCs w:val="16"/>
              </w:rPr>
              <w:t xml:space="preserve">  # DAST nunca se ejecuta contra el ambiente de producción</w:t>
            </w:r>
          </w:p>
        </w:tc>
      </w:tr>
    </w:tbl>
    <w:p>
      <w:pPr>
        <w:pStyle w:val="Heading1"/>
        <w:pageBreakBefore/>
        <w:spacing w:after="240" w:before="480"/>
      </w:pPr>
      <w:r>
        <w:rPr>
          <w:b/>
          <w:bCs/>
        </w:rPr>
        <w:t xml:space="preserve">8. Anexos</w:t>
      </w:r>
    </w:p>
    <w:p>
      <w:pPr>
        <w:pStyle w:val="Heading2"/>
        <w:spacing w:after="180" w:before="360"/>
      </w:pPr>
      <w:r>
        <w:rPr>
          <w:b/>
          <w:bCs/>
        </w:rPr>
        <w:t xml:space="preserve">8.1. Configuración Estándar de Notificaciones de Alertamiento de Seguridad</w:t>
      </w:r>
    </w:p>
    <w:p>
      <w:pPr>
        <w:spacing w:after="200" w:line="276"/>
      </w:pPr>
      <w:r>
        <w:t xml:space="preserve">Todo hallazgo generado por los controles de este documento se enruta automáticamente según su severidad, evitando tanto la fatiga de alertas (sobre-notificación de hallazgos de baja severidad) como el retraso en la atención de hallazgos críticos: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800"/>
        <w:gridCol w:w="2800"/>
      </w:tblGrid>
      <w:tr>
        <w:trPr>
          <w:tblHeader/>
        </w:trPr>
        <w:tc>
          <w:tcPr>
            <w:tcW w:type="dxa" w:w="1750"/>
            <w:shd w:fill="1F3864" w:val="clear"/>
            <w:tcMar>
              <w:top w:type="dxa" w:w="80"/>
              <w:left w:type="dxa" w:w="100"/>
              <w:bottom w:type="dxa" w:w="80"/>
              <w:right w:type="dxa" w:w="100"/>
            </w:tcMar>
            <w:vAlign w:val="center"/>
          </w:tcPr>
          <w:p>
            <w:pPr>
              <w:jc w:val="left"/>
            </w:pPr>
            <w:r>
              <w:rPr>
                <w:b/>
                <w:bCs/>
                <w:color w:val="FFFFFF"/>
              </w:rPr>
              <w:t xml:space="preserve">Severidad</w:t>
            </w:r>
          </w:p>
        </w:tc>
        <w:tc>
          <w:tcPr>
            <w:tcW w:type="dxa" w:w="4800"/>
            <w:shd w:fill="1F3864" w:val="clear"/>
            <w:tcMar>
              <w:top w:type="dxa" w:w="80"/>
              <w:left w:type="dxa" w:w="100"/>
              <w:bottom w:type="dxa" w:w="80"/>
              <w:right w:type="dxa" w:w="100"/>
            </w:tcMar>
            <w:vAlign w:val="center"/>
          </w:tcPr>
          <w:p>
            <w:pPr>
              <w:jc w:val="left"/>
            </w:pPr>
            <w:r>
              <w:rPr>
                <w:b/>
                <w:bCs/>
                <w:color w:val="FFFFFF"/>
              </w:rPr>
              <w:t xml:space="preserve">Canal</w:t>
            </w:r>
          </w:p>
        </w:tc>
        <w:tc>
          <w:tcPr>
            <w:tcW w:type="dxa" w:w="2800"/>
            <w:shd w:fill="1F3864" w:val="clear"/>
            <w:tcMar>
              <w:top w:type="dxa" w:w="80"/>
              <w:left w:type="dxa" w:w="100"/>
              <w:bottom w:type="dxa" w:w="80"/>
              <w:right w:type="dxa" w:w="100"/>
            </w:tcMar>
            <w:vAlign w:val="center"/>
          </w:tcPr>
          <w:p>
            <w:pPr>
              <w:jc w:val="left"/>
            </w:pPr>
            <w:r>
              <w:rPr>
                <w:b/>
                <w:bCs/>
                <w:color w:val="FFFFFF"/>
              </w:rPr>
              <w:t xml:space="preserve">Tiempo de Notificación</w:t>
            </w:r>
          </w:p>
        </w:tc>
      </w:tr>
      <w:tr>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Crítica</w:t>
            </w:r>
          </w:p>
        </w:tc>
        <w:tc>
          <w:tcPr>
            <w:tcW w:type="dxa" w:w="4800"/>
            <w:shd w:fill="FFFFFF" w:val="clear"/>
            <w:tcMar>
              <w:top w:type="dxa" w:w="80"/>
              <w:left w:type="dxa" w:w="100"/>
              <w:bottom w:type="dxa" w:w="80"/>
              <w:right w:type="dxa" w:w="100"/>
            </w:tcMar>
            <w:vAlign w:val="center"/>
          </w:tcPr>
          <w:p>
            <w:pPr>
              <w:jc w:val="left"/>
            </w:pPr>
            <w:r>
              <w:rPr>
                <w:b w:val="false"/>
                <w:bCs w:val="false"/>
                <w:color w:val="000000"/>
              </w:rPr>
              <w:t xml:space="preserve">Llamada telefónica automática + canal de incidentes + email al CISO</w:t>
            </w:r>
          </w:p>
        </w:tc>
        <w:tc>
          <w:tcPr>
            <w:tcW w:type="dxa" w:w="2800"/>
            <w:shd w:fill="FFFFFF" w:val="clear"/>
            <w:tcMar>
              <w:top w:type="dxa" w:w="80"/>
              <w:left w:type="dxa" w:w="100"/>
              <w:bottom w:type="dxa" w:w="80"/>
              <w:right w:type="dxa" w:w="100"/>
            </w:tcMar>
            <w:vAlign w:val="center"/>
          </w:tcPr>
          <w:p>
            <w:pPr>
              <w:jc w:val="left"/>
            </w:pPr>
            <w:r>
              <w:rPr>
                <w:b w:val="false"/>
                <w:bCs w:val="false"/>
                <w:color w:val="000000"/>
              </w:rPr>
              <w:t xml:space="preserve">Inmediato (≤ 5 minutos)</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rPr>
              <w:t xml:space="preserve">Alta</w:t>
            </w:r>
          </w:p>
        </w:tc>
        <w:tc>
          <w:tcPr>
            <w:tcW w:type="dxa" w:w="4800"/>
            <w:shd w:fill="F2F2F2" w:val="clear"/>
            <w:tcMar>
              <w:top w:type="dxa" w:w="80"/>
              <w:left w:type="dxa" w:w="100"/>
              <w:bottom w:type="dxa" w:w="80"/>
              <w:right w:type="dxa" w:w="100"/>
            </w:tcMar>
            <w:vAlign w:val="center"/>
          </w:tcPr>
          <w:p>
            <w:pPr>
              <w:jc w:val="left"/>
            </w:pPr>
            <w:r>
              <w:rPr>
                <w:b w:val="false"/>
                <w:bCs w:val="false"/>
                <w:color w:val="000000"/>
              </w:rPr>
              <w:t xml:space="preserve">Canal de seguridad del equipo + mención directa al Security Champion</w:t>
            </w:r>
          </w:p>
        </w:tc>
        <w:tc>
          <w:tcPr>
            <w:tcW w:type="dxa" w:w="2800"/>
            <w:shd w:fill="F2F2F2" w:val="clear"/>
            <w:tcMar>
              <w:top w:type="dxa" w:w="80"/>
              <w:left w:type="dxa" w:w="100"/>
              <w:bottom w:type="dxa" w:w="80"/>
              <w:right w:type="dxa" w:w="100"/>
            </w:tcMar>
            <w:vAlign w:val="center"/>
          </w:tcPr>
          <w:p>
            <w:pPr>
              <w:jc w:val="left"/>
            </w:pPr>
            <w:r>
              <w:rPr>
                <w:b w:val="false"/>
                <w:bCs w:val="false"/>
                <w:color w:val="000000"/>
              </w:rPr>
              <w:t xml:space="preserve">Inmediato (≤ 15 minutos)</w:t>
            </w:r>
          </w:p>
        </w:tc>
      </w:tr>
      <w:tr>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Media</w:t>
            </w:r>
          </w:p>
        </w:tc>
        <w:tc>
          <w:tcPr>
            <w:tcW w:type="dxa" w:w="4800"/>
            <w:shd w:fill="FFFFFF" w:val="clear"/>
            <w:tcMar>
              <w:top w:type="dxa" w:w="80"/>
              <w:left w:type="dxa" w:w="100"/>
              <w:bottom w:type="dxa" w:w="80"/>
              <w:right w:type="dxa" w:w="100"/>
            </w:tcMar>
            <w:vAlign w:val="center"/>
          </w:tcPr>
          <w:p>
            <w:pPr>
              <w:jc w:val="left"/>
            </w:pPr>
            <w:r>
              <w:rPr>
                <w:b w:val="false"/>
                <w:bCs w:val="false"/>
                <w:color w:val="000000"/>
              </w:rPr>
              <w:t xml:space="preserve">Comentario automático en el Merge Request + resumen diario consolidado</w:t>
            </w:r>
          </w:p>
        </w:tc>
        <w:tc>
          <w:tcPr>
            <w:tcW w:type="dxa" w:w="2800"/>
            <w:shd w:fill="FFFFFF" w:val="clear"/>
            <w:tcMar>
              <w:top w:type="dxa" w:w="80"/>
              <w:left w:type="dxa" w:w="100"/>
              <w:bottom w:type="dxa" w:w="80"/>
              <w:right w:type="dxa" w:w="100"/>
            </w:tcMar>
            <w:vAlign w:val="center"/>
          </w:tcPr>
          <w:p>
            <w:pPr>
              <w:jc w:val="left"/>
            </w:pPr>
            <w:r>
              <w:rPr>
                <w:b w:val="false"/>
                <w:bCs w:val="false"/>
                <w:color w:val="000000"/>
              </w:rPr>
              <w:t xml:space="preserve">Diario</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rPr>
              <w:t xml:space="preserve">Baja</w:t>
            </w:r>
          </w:p>
        </w:tc>
        <w:tc>
          <w:tcPr>
            <w:tcW w:type="dxa" w:w="4800"/>
            <w:shd w:fill="F2F2F2" w:val="clear"/>
            <w:tcMar>
              <w:top w:type="dxa" w:w="80"/>
              <w:left w:type="dxa" w:w="100"/>
              <w:bottom w:type="dxa" w:w="80"/>
              <w:right w:type="dxa" w:w="100"/>
            </w:tcMar>
            <w:vAlign w:val="center"/>
          </w:tcPr>
          <w:p>
            <w:pPr>
              <w:jc w:val="left"/>
            </w:pPr>
            <w:r>
              <w:rPr>
                <w:b w:val="false"/>
                <w:bCs w:val="false"/>
                <w:color w:val="000000"/>
              </w:rPr>
              <w:t xml:space="preserve">Resumen semanal consolidado al tablero de deuda de seguridad</w:t>
            </w:r>
          </w:p>
        </w:tc>
        <w:tc>
          <w:tcPr>
            <w:tcW w:type="dxa" w:w="2800"/>
            <w:shd w:fill="F2F2F2" w:val="clear"/>
            <w:tcMar>
              <w:top w:type="dxa" w:w="80"/>
              <w:left w:type="dxa" w:w="100"/>
              <w:bottom w:type="dxa" w:w="80"/>
              <w:right w:type="dxa" w:w="100"/>
            </w:tcMar>
            <w:vAlign w:val="center"/>
          </w:tcPr>
          <w:p>
            <w:pPr>
              <w:jc w:val="left"/>
            </w:pPr>
            <w:r>
              <w:rPr>
                <w:b w:val="false"/>
                <w:bCs w:val="false"/>
                <w:color w:val="000000"/>
              </w:rPr>
              <w:t xml:space="preserve">Semanal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Fragmento de configuración de integración de alertamiento</w:t>
            </w:r>
          </w:p>
          <w:p>
            <w:pPr>
              <w:spacing w:after="0"/>
            </w:pPr>
            <w:r>
              <w:rPr>
                <w:rFonts w:ascii="Consolas" w:cs="Consolas" w:eastAsia="Consolas" w:hAnsi="Consolas"/>
                <w:color w:val="D4D4D4"/>
                <w:sz w:val="16"/>
                <w:szCs w:val="16"/>
              </w:rPr>
              <w:t xml:space="preserve">notify-security-findings:</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needs: ["sast", "secret_detection", "dependency_scanning", "container_scanning"]</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w:t>
            </w:r>
          </w:p>
          <w:p>
            <w:pPr>
              <w:spacing w:after="0"/>
            </w:pPr>
            <w:r>
              <w:rPr>
                <w:rFonts w:ascii="Consolas" w:cs="Consolas" w:eastAsia="Consolas" w:hAnsi="Consolas"/>
                <w:color w:val="D4D4D4"/>
                <w:sz w:val="16"/>
                <w:szCs w:val="16"/>
              </w:rPr>
              <w:t xml:space="preserve">      python3 route-alerts.py \</w:t>
            </w:r>
          </w:p>
          <w:p>
            <w:pPr>
              <w:spacing w:after="0"/>
            </w:pPr>
            <w:r>
              <w:rPr>
                <w:rFonts w:ascii="Consolas" w:cs="Consolas" w:eastAsia="Consolas" w:hAnsi="Consolas"/>
                <w:color w:val="D4D4D4"/>
                <w:sz w:val="16"/>
                <w:szCs w:val="16"/>
              </w:rPr>
              <w:t xml:space="preserve">        --reports gl-sast-report.json,gl-secret-detection-report.json,</w:t>
            </w:r>
          </w:p>
          <w:p>
            <w:pPr>
              <w:spacing w:after="0"/>
            </w:pPr>
            <w:r>
              <w:rPr>
                <w:rFonts w:ascii="Consolas" w:cs="Consolas" w:eastAsia="Consolas" w:hAnsi="Consolas"/>
                <w:color w:val="D4D4D4"/>
                <w:sz w:val="16"/>
                <w:szCs w:val="16"/>
              </w:rPr>
              <w:t xml:space="preserve">                  gl-dependency-scanning-report.json,gl-container-scanning-report.json \</w:t>
            </w:r>
          </w:p>
          <w:p>
            <w:pPr>
              <w:spacing w:after="0"/>
            </w:pPr>
            <w:r>
              <w:rPr>
                <w:rFonts w:ascii="Consolas" w:cs="Consolas" w:eastAsia="Consolas" w:hAnsi="Consolas"/>
                <w:color w:val="D4D4D4"/>
                <w:sz w:val="16"/>
                <w:szCs w:val="16"/>
              </w:rPr>
              <w:t xml:space="preserve">        --critical-webhook "$PAGERDUTY_WEBHOOK_URL" \</w:t>
            </w:r>
          </w:p>
          <w:p>
            <w:pPr>
              <w:spacing w:after="0"/>
            </w:pPr>
            <w:r>
              <w:rPr>
                <w:rFonts w:ascii="Consolas" w:cs="Consolas" w:eastAsia="Consolas" w:hAnsi="Consolas"/>
                <w:color w:val="D4D4D4"/>
                <w:sz w:val="16"/>
                <w:szCs w:val="16"/>
              </w:rPr>
              <w:t xml:space="preserve">        --high-webhook "$SLACK_SECURITY_CHANNEL_WEBHOOK" \</w:t>
            </w:r>
          </w:p>
          <w:p>
            <w:pPr>
              <w:spacing w:after="0"/>
            </w:pPr>
            <w:r>
              <w:rPr>
                <w:rFonts w:ascii="Consolas" w:cs="Consolas" w:eastAsia="Consolas" w:hAnsi="Consolas"/>
                <w:color w:val="D4D4D4"/>
                <w:sz w:val="16"/>
                <w:szCs w:val="16"/>
              </w:rPr>
              <w:t xml:space="preserve">        --digest-recipients "security-digest@empresa.com"</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when: always</w:t>
            </w:r>
          </w:p>
        </w:tc>
      </w:tr>
    </w:tbl>
    <w:p>
      <w:pPr>
        <w:spacing w:after="200" w:line="276"/>
      </w:pPr>
      <w:r>
        <w:t xml:space="preserve">Esta configuración de enrutamiento se revisa junto con las métricas de seguridad de GOB-001, sección 7.2, ajustando los canales y tiempos de notificación si el volumen de alertas de un canal específico compromete la capacidad de respuesta del equipo receptor.</w:t>
      </w:r>
    </w:p>
    <w:p>
      <w:pPr>
        <w:pBdr>
          <w:top w:val="single" w:color="BFBFBF" w:sz="4"/>
        </w:pBdr>
        <w:spacing w:before="400"/>
      </w:pPr>
    </w:p>
    <w:p>
      <w:pPr>
        <w:spacing w:before="200"/>
      </w:pPr>
      <w:r>
        <w:rPr>
          <w:i/>
          <w:iCs/>
          <w:color w:val="808080"/>
          <w:sz w:val="18"/>
          <w:szCs w:val="18"/>
        </w:rPr>
        <w:t xml:space="preserve">Fin del documento SEC-002 — Estándar de Seguridad en Pipelines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SEC-002 · Estándar de Seguridad en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2026-08-05T02:27:30.725Z</dcterms:created>
  <dcterms:modified xsi:type="dcterms:W3CDTF">2026-08-05T02:27:30.728Z</dcterms:modified>
</cp:coreProperties>
</file>

<file path=docProps/custom.xml><?xml version="1.0" encoding="utf-8"?>
<Properties xmlns="http://schemas.openxmlformats.org/officeDocument/2006/custom-properties" xmlns:vt="http://schemas.openxmlformats.org/officeDocument/2006/docPropsVTypes"/>
</file>