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TMP-001</w:t>
      </w:r>
    </w:p>
    <w:p>
      <w:pPr>
        <w:spacing w:after="120" w:before="240"/>
        <w:jc w:val="center"/>
      </w:pPr>
      <w:r>
        <w:rPr>
          <w:b/>
          <w:bCs/>
          <w:color w:val="1F3864"/>
          <w:sz w:val="52"/>
          <w:szCs w:val="52"/>
        </w:rPr>
        <w:t xml:space="preserve">Catálogo de Templates de Pipelines</w:t>
      </w:r>
    </w:p>
    <w:p>
      <w:pPr>
        <w:spacing w:after="600"/>
        <w:jc w:val="center"/>
      </w:pPr>
      <w:r>
        <w:rPr>
          <w:i/>
          <w:iCs/>
          <w:color w:val="595959"/>
          <w:sz w:val="24"/>
          <w:szCs w:val="24"/>
        </w:rPr>
        <w:t xml:space="preserve">Plantillas reutilizables de CI/CD por stack tecnológico e infraestructura como código</w:t>
      </w:r>
    </w:p>
    <w:p>
      <w:pPr>
        <w:spacing w:before="1600"/>
        <w:jc w:val="center"/>
      </w:pPr>
      <w:r>
        <w:rPr>
          <w:color w:val="595959"/>
          <w:sz w:val="22"/>
          <w:szCs w:val="22"/>
        </w:rPr>
        <w:t xml:space="preserve">Versión 1.0  ·  Agosto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cataloga las plantillas de pipeline reutilizables que implementan el estándar ENG-002 para cada stack tecnológico homologado en ARC-001. Su vigencia, distribución y modificaciones están sujetas al proceso de gestión documental de DOC-001.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TMP-001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obligatoria para todo el personal de Ingeniería y Plataforma.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Head of Platform Engineering / Guild de Ingeniería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Trimestral, o ante la incorporación de un nuevo stack tecnológico homologado en ARC-001.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2026-11-04</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Documentos Relacionados</w:t>
            </w:r>
          </w:p>
        </w:tc>
        <w:tc>
          <w:tcPr>
            <w:tcW w:type="dxa" w:w="7000"/>
            <w:tcMar>
              <w:top w:type="dxa" w:w="80"/>
              <w:left w:type="dxa" w:w="100"/>
              <w:bottom w:type="dxa" w:w="80"/>
              <w:right w:type="dxa" w:w="100"/>
            </w:tcMar>
            <w:vAlign w:val="center"/>
          </w:tcPr>
          <w:p>
            <w:pPr>
              <w:jc w:val="left"/>
            </w:pPr>
            <w:r>
              <w:rPr>
                <w:b w:val="false"/>
                <w:bCs w:val="false"/>
                <w:color w:val="000000"/>
              </w:rPr>
              <w:t xml:space="preserve">ENG-002 (estándar de pipelines), ARC-001 (ecosistema tecnológico), ENG-001 (estructura de proyecto por stack), PLT-001 (implementación GitLab).</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2026-06-20</w:t>
            </w:r>
          </w:p>
        </w:tc>
        <w:tc>
          <w:tcPr>
            <w:tcW w:type="dxa" w:w="2550"/>
            <w:tcMar>
              <w:top w:type="dxa" w:w="80"/>
              <w:left w:type="dxa" w:w="100"/>
              <w:bottom w:type="dxa" w:w="80"/>
              <w:right w:type="dxa" w:w="100"/>
            </w:tcMar>
            <w:vAlign w:val="center"/>
          </w:tcPr>
          <w:p>
            <w:pPr>
              <w:jc w:val="left"/>
            </w:pPr>
            <w:r>
              <w:rPr>
                <w:b w:val="false"/>
                <w:bCs w:val="false"/>
                <w:color w:val="000000"/>
              </w:rPr>
              <w:t xml:space="preserve">Equipo de Plataforma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del catálogo de templates por stack tecnológico.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2026-07-18</w:t>
            </w:r>
          </w:p>
        </w:tc>
        <w:tc>
          <w:tcPr>
            <w:tcW w:type="dxa" w:w="2550"/>
            <w:tcMar>
              <w:top w:type="dxa" w:w="80"/>
              <w:left w:type="dxa" w:w="100"/>
              <w:bottom w:type="dxa" w:w="80"/>
              <w:right w:type="dxa" w:w="100"/>
            </w:tcMar>
            <w:vAlign w:val="center"/>
          </w:tcPr>
          <w:p>
            <w:pPr>
              <w:jc w:val="left"/>
            </w:pPr>
            <w:r>
              <w:rPr>
                <w:b w:val="false"/>
                <w:bCs w:val="false"/>
                <w:color w:val="000000"/>
              </w:rPr>
              <w:t xml:space="preserve">Guild de Ingeniería</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templates de IaC, procedimiento de publicación y matriz de cobertura.</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2026-08-04</w:t>
            </w:r>
          </w:p>
        </w:tc>
        <w:tc>
          <w:tcPr>
            <w:tcW w:type="dxa" w:w="2550"/>
            <w:tcMar>
              <w:top w:type="dxa" w:w="80"/>
              <w:left w:type="dxa" w:w="100"/>
              <w:bottom w:type="dxa" w:w="80"/>
              <w:right w:type="dxa" w:w="100"/>
            </w:tcMar>
            <w:vAlign w:val="center"/>
          </w:tcPr>
          <w:p>
            <w:pPr>
              <w:jc w:val="left"/>
            </w:pPr>
            <w:r>
              <w:rPr>
                <w:b w:val="false"/>
                <w:bCs w:val="false"/>
                <w:color w:val="000000"/>
              </w:rPr>
              <w:t xml:space="preserve">Head of Platform Engineering</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ci-templates.</w:t>
            </w:r>
          </w:p>
        </w:tc>
      </w:tr>
    </w:tbl>
    <w:p>
      <w:pPr>
        <w:pStyle w:val="Heading1"/>
        <w:pageBreakBefore/>
        <w:spacing w:after="240" w:before="480"/>
      </w:pPr>
      <w:r>
        <w:rPr>
          <w:b/>
          <w:bCs/>
        </w:rPr>
        <w:t xml:space="preserve">2. Propósito y Estrategia de Reutilización de Plantillas</w:t>
      </w:r>
    </w:p>
    <w:p>
      <w:pPr>
        <w:spacing w:after="200" w:line="276"/>
      </w:pPr>
      <w:r>
        <w:t xml:space="preserve">Mientras que ENG-002 define la estructura obligatoria de etapas de todo pipeline corporativo, este documento cataloga las implementaciones concretas de esa estructura para cada stack tecnológico, evitando que cada equipo reinvente la configuración de build, test y empaquetado para lenguajes ya utilizados por otros equipos de la organización.</w:t>
      </w:r>
    </w:p>
    <w:p>
      <w:pPr>
        <w:pStyle w:val="ListParagraph"/>
        <w:numPr>
          <w:ilvl w:val="0"/>
          <w:numId w:val="2"/>
        </w:numPr>
        <w:spacing w:after="120"/>
      </w:pPr>
      <w:r>
        <w:rPr>
          <w:b/>
          <w:bCs/>
        </w:rPr>
        <w:t xml:space="preserve">Reutilización por defecto: </w:t>
      </w:r>
      <w:r>
        <w:t xml:space="preserve">Ningún proyecto escribe su lógica de compilación, pruebas o empaquetado desde cero si ya existe un template homologado para su stack en el catálogo de este documento.</w:t>
      </w:r>
    </w:p>
    <w:p>
      <w:pPr>
        <w:pStyle w:val="ListParagraph"/>
        <w:numPr>
          <w:ilvl w:val="0"/>
          <w:numId w:val="2"/>
        </w:numPr>
        <w:spacing w:after="120"/>
      </w:pPr>
      <w:r>
        <w:rPr>
          <w:b/>
          <w:bCs/>
        </w:rPr>
        <w:t xml:space="preserve">Encapsulamiento de buenas prácticas: </w:t>
      </w:r>
      <w:r>
        <w:t xml:space="preserve">Cada template encapsula las mejores prácticas específicas del lenguaje (gestión de caché, formato de reportes, imagen base hardened) sin que el equipo consumidor deba conocer ese detalle.</w:t>
      </w:r>
    </w:p>
    <w:p>
      <w:pPr>
        <w:pStyle w:val="ListParagraph"/>
        <w:numPr>
          <w:ilvl w:val="0"/>
          <w:numId w:val="2"/>
        </w:numPr>
        <w:spacing w:after="120"/>
      </w:pPr>
      <w:r>
        <w:rPr>
          <w:b/>
          <w:bCs/>
        </w:rPr>
        <w:t xml:space="preserve">Complementariedad con ENG-002: </w:t>
      </w:r>
      <w:r>
        <w:t xml:space="preserve">Un template no reemplaza las etapas comunes de ENG-002 (security, post-deploy); las extiende con los jobs de build y test específicos del lenguaje.</w:t>
      </w:r>
    </w:p>
    <w:p>
      <w:pPr>
        <w:pStyle w:val="ListParagraph"/>
        <w:numPr>
          <w:ilvl w:val="0"/>
          <w:numId w:val="2"/>
        </w:numPr>
        <w:spacing w:after="120"/>
      </w:pPr>
      <w:r>
        <w:rPr>
          <w:b/>
          <w:bCs/>
        </w:rPr>
        <w:t xml:space="preserve">Cobertura auditable: </w:t>
      </w:r>
      <w:r>
        <w:t xml:space="preserve">La cobertura de stacks se audita trimestralmente contra el ecosistema tecnológico objetivo de ARC-001, capítulo 4 (ver anexo 7.1).</w:t>
      </w:r>
    </w:p>
    <w:p>
      <w:pPr>
        <w:pStyle w:val="Heading1"/>
        <w:pageBreakBefore/>
        <w:spacing w:after="240" w:before="480"/>
      </w:pPr>
      <w:r>
        <w:rPr>
          <w:b/>
          <w:bCs/>
        </w:rPr>
        <w:t xml:space="preserve">3. Gobierno de Templates (Repositorio `ci-templates` Centralizado)</w:t>
      </w:r>
    </w:p>
    <w:p>
      <w:pPr>
        <w:spacing w:after="200" w:line="276"/>
      </w:pPr>
      <w:r>
        <w:t xml:space="preserve">Todos los templates viven en un único repositorio centralizado, propiedad del equipo de Plataforma, con la siguiente estructura: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ci-templates/</w:t>
            </w:r>
          </w:p>
          <w:p>
            <w:pPr>
              <w:spacing w:after="0"/>
            </w:pPr>
            <w:r>
              <w:rPr>
                <w:rFonts w:ascii="Consolas" w:cs="Consolas" w:eastAsia="Consolas" w:hAnsi="Consolas"/>
                <w:color w:val="D4D4D4"/>
                <w:sz w:val="16"/>
                <w:szCs w:val="16"/>
              </w:rPr>
              <w:t xml:space="preserve">├── README.md</w:t>
            </w:r>
          </w:p>
          <w:p>
            <w:pPr>
              <w:spacing w:after="0"/>
            </w:pPr>
            <w:r>
              <w:rPr>
                <w:rFonts w:ascii="Consolas" w:cs="Consolas" w:eastAsia="Consolas" w:hAnsi="Consolas"/>
                <w:color w:val="D4D4D4"/>
                <w:sz w:val="16"/>
                <w:szCs w:val="16"/>
              </w:rPr>
              <w:t xml:space="preserve">├── CHANGELOG.md</w:t>
            </w:r>
          </w:p>
          <w:p>
            <w:pPr>
              <w:spacing w:after="0"/>
            </w:pPr>
            <w:r>
              <w:rPr>
                <w:rFonts w:ascii="Consolas" w:cs="Consolas" w:eastAsia="Consolas" w:hAnsi="Consolas"/>
                <w:color w:val="D4D4D4"/>
                <w:sz w:val="16"/>
                <w:szCs w:val="16"/>
              </w:rPr>
              <w:t xml:space="preserve">├── templates/</w:t>
            </w:r>
          </w:p>
          <w:p>
            <w:pPr>
              <w:spacing w:after="0"/>
            </w:pPr>
            <w:r>
              <w:rPr>
                <w:rFonts w:ascii="Consolas" w:cs="Consolas" w:eastAsia="Consolas" w:hAnsi="Consolas"/>
                <w:color w:val="D4D4D4"/>
                <w:sz w:val="16"/>
                <w:szCs w:val="16"/>
              </w:rPr>
              <w:t xml:space="preserve">│   ├── base.gitlab-ci.yml          # Etapas y workflow comunes (ver ENG-002)</w:t>
            </w:r>
          </w:p>
          <w:p>
            <w:pPr>
              <w:spacing w:after="0"/>
            </w:pPr>
            <w:r>
              <w:rPr>
                <w:rFonts w:ascii="Consolas" w:cs="Consolas" w:eastAsia="Consolas" w:hAnsi="Consolas"/>
                <w:color w:val="D4D4D4"/>
                <w:sz w:val="16"/>
                <w:szCs w:val="16"/>
              </w:rPr>
              <w:t xml:space="preserve">│   ├── lang/</w:t>
            </w:r>
          </w:p>
          <w:p>
            <w:pPr>
              <w:spacing w:after="0"/>
            </w:pPr>
            <w:r>
              <w:rPr>
                <w:rFonts w:ascii="Consolas" w:cs="Consolas" w:eastAsia="Consolas" w:hAnsi="Consolas"/>
                <w:color w:val="D4D4D4"/>
                <w:sz w:val="16"/>
                <w:szCs w:val="16"/>
              </w:rPr>
              <w:t xml:space="preserve">│   │   ├── java-maven.yml</w:t>
            </w:r>
          </w:p>
          <w:p>
            <w:pPr>
              <w:spacing w:after="0"/>
            </w:pPr>
            <w:r>
              <w:rPr>
                <w:rFonts w:ascii="Consolas" w:cs="Consolas" w:eastAsia="Consolas" w:hAnsi="Consolas"/>
                <w:color w:val="D4D4D4"/>
                <w:sz w:val="16"/>
                <w:szCs w:val="16"/>
              </w:rPr>
              <w:t xml:space="preserve">│   │   ├── java-gradle.yml</w:t>
            </w:r>
          </w:p>
          <w:p>
            <w:pPr>
              <w:spacing w:after="0"/>
            </w:pPr>
            <w:r>
              <w:rPr>
                <w:rFonts w:ascii="Consolas" w:cs="Consolas" w:eastAsia="Consolas" w:hAnsi="Consolas"/>
                <w:color w:val="D4D4D4"/>
                <w:sz w:val="16"/>
                <w:szCs w:val="16"/>
              </w:rPr>
              <w:t xml:space="preserve">│   │   ├── node.yml</w:t>
            </w:r>
          </w:p>
          <w:p>
            <w:pPr>
              <w:spacing w:after="0"/>
            </w:pPr>
            <w:r>
              <w:rPr>
                <w:rFonts w:ascii="Consolas" w:cs="Consolas" w:eastAsia="Consolas" w:hAnsi="Consolas"/>
                <w:color w:val="D4D4D4"/>
                <w:sz w:val="16"/>
                <w:szCs w:val="16"/>
              </w:rPr>
              <w:t xml:space="preserve">│   │   ├── python-poetry.yml</w:t>
            </w:r>
          </w:p>
          <w:p>
            <w:pPr>
              <w:spacing w:after="0"/>
            </w:pPr>
            <w:r>
              <w:rPr>
                <w:rFonts w:ascii="Consolas" w:cs="Consolas" w:eastAsia="Consolas" w:hAnsi="Consolas"/>
                <w:color w:val="D4D4D4"/>
                <w:sz w:val="16"/>
                <w:szCs w:val="16"/>
              </w:rPr>
              <w:t xml:space="preserve">│   │   ├── dotnet.yml</w:t>
            </w:r>
          </w:p>
          <w:p>
            <w:pPr>
              <w:spacing w:after="0"/>
            </w:pPr>
            <w:r>
              <w:rPr>
                <w:rFonts w:ascii="Consolas" w:cs="Consolas" w:eastAsia="Consolas" w:hAnsi="Consolas"/>
                <w:color w:val="D4D4D4"/>
                <w:sz w:val="16"/>
                <w:szCs w:val="16"/>
              </w:rPr>
              <w:t xml:space="preserve">│   │   └── frontend.yml</w:t>
            </w:r>
          </w:p>
          <w:p>
            <w:pPr>
              <w:spacing w:after="0"/>
            </w:pPr>
            <w:r>
              <w:rPr>
                <w:rFonts w:ascii="Consolas" w:cs="Consolas" w:eastAsia="Consolas" w:hAnsi="Consolas"/>
                <w:color w:val="D4D4D4"/>
                <w:sz w:val="16"/>
                <w:szCs w:val="16"/>
              </w:rPr>
              <w:t xml:space="preserve">│   └── iac/</w:t>
            </w:r>
          </w:p>
          <w:p>
            <w:pPr>
              <w:spacing w:after="0"/>
            </w:pPr>
            <w:r>
              <w:rPr>
                <w:rFonts w:ascii="Consolas" w:cs="Consolas" w:eastAsia="Consolas" w:hAnsi="Consolas"/>
                <w:color w:val="D4D4D4"/>
                <w:sz w:val="16"/>
                <w:szCs w:val="16"/>
              </w:rPr>
              <w:t xml:space="preserve">│       ├── terraform.yml</w:t>
            </w:r>
          </w:p>
          <w:p>
            <w:pPr>
              <w:spacing w:after="0"/>
            </w:pPr>
            <w:r>
              <w:rPr>
                <w:rFonts w:ascii="Consolas" w:cs="Consolas" w:eastAsia="Consolas" w:hAnsi="Consolas"/>
                <w:color w:val="D4D4D4"/>
                <w:sz w:val="16"/>
                <w:szCs w:val="16"/>
              </w:rPr>
              <w:t xml:space="preserve">│       ├── cloudformation.yml</w:t>
            </w:r>
          </w:p>
          <w:p>
            <w:pPr>
              <w:spacing w:after="0"/>
            </w:pPr>
            <w:r>
              <w:rPr>
                <w:rFonts w:ascii="Consolas" w:cs="Consolas" w:eastAsia="Consolas" w:hAnsi="Consolas"/>
                <w:color w:val="D4D4D4"/>
                <w:sz w:val="16"/>
                <w:szCs w:val="16"/>
              </w:rPr>
              <w:t xml:space="preserve">│       └── helm.yml</w:t>
            </w:r>
          </w:p>
          <w:p>
            <w:pPr>
              <w:spacing w:after="0"/>
            </w:pPr>
            <w:r>
              <w:rPr>
                <w:rFonts w:ascii="Consolas" w:cs="Consolas" w:eastAsia="Consolas" w:hAnsi="Consolas"/>
                <w:color w:val="D4D4D4"/>
                <w:sz w:val="16"/>
                <w:szCs w:val="16"/>
              </w:rPr>
              <w:t xml:space="preserve">└── .gitlab-ci.yml                   # Pipeline que prueba los propios templates</w:t>
            </w:r>
          </w:p>
        </w:tc>
      </w:tr>
    </w:tbl>
    <w:p>
      <w:pPr>
        <w:pStyle w:val="Heading2"/>
        <w:spacing w:after="180" w:before="360"/>
      </w:pPr>
      <w:r>
        <w:rPr>
          <w:b/>
          <w:bCs/>
        </w:rPr>
        <w:t xml:space="preserve">3.1. Control de Versiones de Templates y Política de Modificación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rPr>
              <w:t xml:space="preserve">Regla</w:t>
            </w:r>
          </w:p>
        </w:tc>
        <w:tc>
          <w:tcPr>
            <w:tcW w:type="dxa" w:w="675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Versionado semántico</w:t>
            </w:r>
          </w:p>
        </w:tc>
        <w:tc>
          <w:tcPr>
            <w:tcW w:type="dxa" w:w="6750"/>
            <w:shd w:fill="FFFFFF" w:val="clear"/>
            <w:tcMar>
              <w:top w:type="dxa" w:w="80"/>
              <w:left w:type="dxa" w:w="100"/>
              <w:bottom w:type="dxa" w:w="80"/>
              <w:right w:type="dxa" w:w="100"/>
            </w:tcMar>
            <w:vAlign w:val="center"/>
          </w:tcPr>
          <w:p>
            <w:pPr>
              <w:jc w:val="left"/>
            </w:pPr>
            <w:r>
              <w:rPr>
                <w:b w:val="false"/>
                <w:bCs w:val="false"/>
                <w:color w:val="000000"/>
              </w:rPr>
              <w:t xml:space="preserve">Todo template publica versiones MAJOR.MINOR.PATCH; un cambio incompatible (por ejemplo, renombrar una etapa) incrementa MAJOR.</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Referencia explícita obligatoria</w:t>
            </w:r>
          </w:p>
        </w:tc>
        <w:tc>
          <w:tcPr>
            <w:tcW w:type="dxa" w:w="6750"/>
            <w:shd w:fill="F2F2F2" w:val="clear"/>
            <w:tcMar>
              <w:top w:type="dxa" w:w="80"/>
              <w:left w:type="dxa" w:w="100"/>
              <w:bottom w:type="dxa" w:w="80"/>
              <w:right w:type="dxa" w:w="100"/>
            </w:tcMar>
            <w:vAlign w:val="center"/>
          </w:tcPr>
          <w:p>
            <w:pPr>
              <w:jc w:val="left"/>
            </w:pPr>
            <w:r>
              <w:rPr>
                <w:b w:val="false"/>
                <w:bCs w:val="false"/>
                <w:color w:val="000000"/>
              </w:rPr>
              <w:t xml:space="preserve">Ningún proyecto puede incluir un template sin fijar un ref (tag) específico; queda prohibido apuntar a main directamente, para evitar cambios no controlados en pipelines productivos.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Ventana de soporte</w:t>
            </w:r>
          </w:p>
        </w:tc>
        <w:tc>
          <w:tcPr>
            <w:tcW w:type="dxa" w:w="6750"/>
            <w:shd w:fill="FFFFFF" w:val="clear"/>
            <w:tcMar>
              <w:top w:type="dxa" w:w="80"/>
              <w:left w:type="dxa" w:w="100"/>
              <w:bottom w:type="dxa" w:w="80"/>
              <w:right w:type="dxa" w:w="100"/>
            </w:tcMar>
            <w:vAlign w:val="center"/>
          </w:tcPr>
          <w:p>
            <w:pPr>
              <w:jc w:val="left"/>
            </w:pPr>
            <w:r>
              <w:rPr>
                <w:b w:val="false"/>
                <w:bCs w:val="false"/>
                <w:color w:val="000000"/>
              </w:rPr>
              <w:t xml:space="preserve">Se mantienen soportadas las últimas 2 versiones MAJOR; versiones anteriores reciben únicamente parches de seguridad críticos por 6 meses tras la publicación de la siguiente MAJOR.</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Aprobación de cambios</w:t>
            </w:r>
          </w:p>
        </w:tc>
        <w:tc>
          <w:tcPr>
            <w:tcW w:type="dxa" w:w="6750"/>
            <w:shd w:fill="F2F2F2" w:val="clear"/>
            <w:tcMar>
              <w:top w:type="dxa" w:w="80"/>
              <w:left w:type="dxa" w:w="100"/>
              <w:bottom w:type="dxa" w:w="80"/>
              <w:right w:type="dxa" w:w="100"/>
            </w:tcMar>
            <w:vAlign w:val="center"/>
          </w:tcPr>
          <w:p>
            <w:pPr>
              <w:jc w:val="left"/>
            </w:pPr>
            <w:r>
              <w:rPr>
                <w:b w:val="false"/>
                <w:bCs w:val="false"/>
                <w:color w:val="000000"/>
              </w:rPr>
              <w:t xml:space="preserve">Todo cambio a un template sigue el mismo flujo de Merge Request y revisión por pares de ENG-001, sección 3.3, con aprobación obligatoria de un representante de la Guild de Ingeniería.</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Pruebas del propio template</w:t>
            </w:r>
          </w:p>
        </w:tc>
        <w:tc>
          <w:tcPr>
            <w:tcW w:type="dxa" w:w="6750"/>
            <w:shd w:fill="FFFFFF" w:val="clear"/>
            <w:tcMar>
              <w:top w:type="dxa" w:w="80"/>
              <w:left w:type="dxa" w:w="100"/>
              <w:bottom w:type="dxa" w:w="80"/>
              <w:right w:type="dxa" w:w="100"/>
            </w:tcMar>
            <w:vAlign w:val="center"/>
          </w:tcPr>
          <w:p>
            <w:pPr>
              <w:jc w:val="left"/>
            </w:pPr>
            <w:r>
              <w:rPr>
                <w:b w:val="false"/>
                <w:bCs w:val="false"/>
                <w:color w:val="000000"/>
              </w:rPr>
              <w:t xml:space="preserve">Todo template se prueba contra un proyecto de ejemplo (fixture) antes de publicarse, mediante el pipeline del propio repositorio ci-templates.</w:t>
            </w:r>
          </w:p>
        </w:tc>
      </w:tr>
    </w:tbl>
    <w:p>
      <w:pPr>
        <w:pStyle w:val="Heading2"/>
        <w:spacing w:after="180" w:before="360"/>
      </w:pPr>
      <w:r>
        <w:rPr>
          <w:b/>
          <w:bCs/>
        </w:rPr>
        <w:t xml:space="preserve">3.2. Mecanismo de Inclusión en Proyectos (`include:project`)</w:t>
      </w:r>
    </w:p>
    <w:p>
      <w:pPr>
        <w:spacing w:after="200" w:line="276"/>
      </w:pPr>
      <w:r>
        <w:t xml:space="preserve">Todo proyecto consumidor incluye el template correspondiente a su stack mediante la directiva include:project, fijando siempre una versión específica (nunca la rama 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.gitlab-ci.yml de un proyecto consumidor</w:t>
            </w:r>
          </w:p>
          <w:p>
            <w:pPr>
              <w:spacing w:after="0"/>
            </w:pPr>
            <w:r>
              <w:rPr>
                <w:rFonts w:ascii="Consolas" w:cs="Consolas" w:eastAsia="Consolas" w:hAnsi="Consolas"/>
                <w:color w:val="D4D4D4"/>
                <w:sz w:val="16"/>
                <w:szCs w:val="16"/>
              </w:rPr>
              <w:t xml:space="preserve">include:</w:t>
            </w:r>
          </w:p>
          <w:p>
            <w:pPr>
              <w:spacing w:after="0"/>
            </w:pPr>
            <w:r>
              <w:rPr>
                <w:rFonts w:ascii="Consolas" w:cs="Consolas" w:eastAsia="Consolas" w:hAnsi="Consolas"/>
                <w:color w:val="D4D4D4"/>
                <w:sz w:val="16"/>
                <w:szCs w:val="16"/>
              </w:rPr>
              <w:t xml:space="preserve">  - project: 'plataforma/ci-templates'</w:t>
            </w:r>
          </w:p>
          <w:p>
            <w:pPr>
              <w:spacing w:after="0"/>
            </w:pPr>
            <w:r>
              <w:rPr>
                <w:rFonts w:ascii="Consolas" w:cs="Consolas" w:eastAsia="Consolas" w:hAnsi="Consolas"/>
                <w:color w:val="D4D4D4"/>
                <w:sz w:val="16"/>
                <w:szCs w:val="16"/>
              </w:rPr>
              <w:t xml:space="preserve">    ref: 'java-maven-v2.3.1'</w:t>
            </w:r>
          </w:p>
          <w:p>
            <w:pPr>
              <w:spacing w:after="0"/>
            </w:pPr>
            <w:r>
              <w:rPr>
                <w:rFonts w:ascii="Consolas" w:cs="Consolas" w:eastAsia="Consolas" w:hAnsi="Consolas"/>
                <w:color w:val="D4D4D4"/>
                <w:sz w:val="16"/>
                <w:szCs w:val="16"/>
              </w:rPr>
              <w:t xml:space="preserve">    file: '/templates/lang/java-maven.yml'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variables:</w:t>
            </w:r>
          </w:p>
          <w:p>
            <w:pPr>
              <w:spacing w:after="0"/>
            </w:pPr>
            <w:r>
              <w:rPr>
                <w:rFonts w:ascii="Consolas" w:cs="Consolas" w:eastAsia="Consolas" w:hAnsi="Consolas"/>
                <w:color w:val="D4D4D4"/>
                <w:sz w:val="16"/>
                <w:szCs w:val="16"/>
              </w:rPr>
              <w:t xml:space="preserve">  MAVEN_OPTS: "-Dmaven.repo.local=.m2/repository"</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Jobs específicos del proyecto se añaden aquí,</w:t>
            </w:r>
          </w:p>
          <w:p>
            <w:pPr>
              <w:spacing w:after="0"/>
            </w:pPr>
            <w:r>
              <w:rPr>
                <w:rFonts w:ascii="Consolas" w:cs="Consolas" w:eastAsia="Consolas" w:hAnsi="Consolas"/>
                <w:color w:val="D4D4D4"/>
                <w:sz w:val="16"/>
                <w:szCs w:val="16"/>
              </w:rPr>
              <w:t xml:space="preserve"># reutilizando las etapas ya declaradas por el template base.</w:t>
            </w:r>
          </w:p>
        </w:tc>
      </w:tr>
    </w:tbl>
    <w:p>
      <w:pPr>
        <w:pStyle w:val="Heading1"/>
        <w:pageBreakBefore/>
        <w:spacing w:after="240" w:before="480"/>
      </w:pPr>
      <w:r>
        <w:rPr>
          <w:b/>
          <w:bCs/>
        </w:rPr>
        <w:t xml:space="preserve">4. Catálogo de Templates por Stack Tecnológico</w:t>
      </w:r>
    </w:p>
    <w:p>
      <w:pPr>
        <w:spacing w:after="200" w:line="276"/>
      </w:pPr>
      <w:r>
        <w:t xml:space="preserve">Cada template de esta sección implementa las etapas build y test de ENG-002 con las herramientas nativas del ecosistema del lenguaje, heredando las etapas security, package, deploy y post-deploy de la plantilla base.</w:t>
      </w:r>
    </w:p>
    <w:p>
      <w:pPr>
        <w:pStyle w:val="Heading2"/>
        <w:spacing w:after="180" w:before="360"/>
      </w:pPr>
      <w:r>
        <w:rPr>
          <w:b/>
          <w:bCs/>
        </w:rPr>
        <w:t xml:space="preserve">4.1. Template Java / Spring Boot (Maven / Gradle)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templates/lang/java-maven.yml</w:t>
            </w:r>
          </w:p>
          <w:p>
            <w:pPr>
              <w:spacing w:after="0"/>
            </w:pPr>
            <w:r>
              <w:rPr>
                <w:rFonts w:ascii="Consolas" w:cs="Consolas" w:eastAsia="Consolas" w:hAnsi="Consolas"/>
                <w:color w:val="D4D4D4"/>
                <w:sz w:val="16"/>
                <w:szCs w:val="16"/>
              </w:rPr>
              <w:t xml:space="preserve">include: '/templates/base.gitlab-ci.yml'    # etapas comunes (ENG-002)</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build-java:</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registry.interna.empresa.com/maven:3.9-eclipse-temurin-21</w:t>
            </w:r>
          </w:p>
          <w:p>
            <w:pPr>
              <w:spacing w:after="0"/>
            </w:pPr>
            <w:r>
              <w:rPr>
                <w:rFonts w:ascii="Consolas" w:cs="Consolas" w:eastAsia="Consolas" w:hAnsi="Consolas"/>
                <w:color w:val="D4D4D4"/>
                <w:sz w:val="16"/>
                <w:szCs w:val="16"/>
              </w:rPr>
              <w:t xml:space="preserve">  script: ["mvn -B -DskipTests package"]</w:t>
            </w:r>
          </w:p>
          <w:p>
            <w:pPr>
              <w:spacing w:after="0"/>
            </w:pPr>
            <w:r>
              <w:rPr>
                <w:rFonts w:ascii="Consolas" w:cs="Consolas" w:eastAsia="Consolas" w:hAnsi="Consolas"/>
                <w:color w:val="D4D4D4"/>
                <w:sz w:val="16"/>
                <w:szCs w:val="16"/>
              </w:rPr>
              <w:t xml:space="preserve">  cache:</w:t>
            </w:r>
          </w:p>
          <w:p>
            <w:pPr>
              <w:spacing w:after="0"/>
            </w:pPr>
            <w:r>
              <w:rPr>
                <w:rFonts w:ascii="Consolas" w:cs="Consolas" w:eastAsia="Consolas" w:hAnsi="Consolas"/>
                <w:color w:val="D4D4D4"/>
                <w:sz w:val="16"/>
                <w:szCs w:val="16"/>
              </w:rPr>
              <w:t xml:space="preserve">    key: "$CI_COMMIT_REF_SLUG-m2"</w:t>
            </w:r>
          </w:p>
          <w:p>
            <w:pPr>
              <w:spacing w:after="0"/>
            </w:pPr>
            <w:r>
              <w:rPr>
                <w:rFonts w:ascii="Consolas" w:cs="Consolas" w:eastAsia="Consolas" w:hAnsi="Consolas"/>
                <w:color w:val="D4D4D4"/>
                <w:sz w:val="16"/>
                <w:szCs w:val="16"/>
              </w:rPr>
              <w:t xml:space="preserve">    paths: [".m2/repository"]</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 ["target/*.jar"]</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unit-tests-java:</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script: ["mvn -B test"]</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reports: { junit: "target/surefire-reports/*.xml" }</w:t>
            </w:r>
          </w:p>
        </w:tc>
      </w:tr>
    </w:tbl>
    <w:p>
      <w:pPr>
        <w:pStyle w:val="Heading2"/>
        <w:spacing w:after="180" w:before="360"/>
      </w:pPr>
      <w:r>
        <w:rPr>
          <w:b/>
          <w:bCs/>
        </w:rPr>
        <w:t xml:space="preserve">4.2. Template Node.js / TypeScript (npm / yarn / pnpm)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templates/lang/node.yml</w:t>
            </w:r>
          </w:p>
          <w:p>
            <w:pPr>
              <w:spacing w:after="0"/>
            </w:pPr>
            <w:r>
              <w:rPr>
                <w:rFonts w:ascii="Consolas" w:cs="Consolas" w:eastAsia="Consolas" w:hAnsi="Consolas"/>
                <w:color w:val="D4D4D4"/>
                <w:sz w:val="16"/>
                <w:szCs w:val="16"/>
              </w:rPr>
              <w:t xml:space="preserve">include: '/templates/base.gitlab-ci.yml'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build-node:</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registry.interna.empresa.com/node:20-alpine</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corepack enable</w:t>
            </w:r>
          </w:p>
          <w:p>
            <w:pPr>
              <w:spacing w:after="0"/>
            </w:pPr>
            <w:r>
              <w:rPr>
                <w:rFonts w:ascii="Consolas" w:cs="Consolas" w:eastAsia="Consolas" w:hAnsi="Consolas"/>
                <w:color w:val="D4D4D4"/>
                <w:sz w:val="16"/>
                <w:szCs w:val="16"/>
              </w:rPr>
              <w:t xml:space="preserve">    - pnpm install --frozen-lockfile   # respeta lockfile, ver ENG-001 6.1</w:t>
            </w:r>
          </w:p>
          <w:p>
            <w:pPr>
              <w:spacing w:after="0"/>
            </w:pPr>
            <w:r>
              <w:rPr>
                <w:rFonts w:ascii="Consolas" w:cs="Consolas" w:eastAsia="Consolas" w:hAnsi="Consolas"/>
                <w:color w:val="D4D4D4"/>
                <w:sz w:val="16"/>
                <w:szCs w:val="16"/>
              </w:rPr>
              <w:t xml:space="preserve">    - pnpm run build</w:t>
            </w:r>
          </w:p>
          <w:p>
            <w:pPr>
              <w:spacing w:after="0"/>
            </w:pPr>
            <w:r>
              <w:rPr>
                <w:rFonts w:ascii="Consolas" w:cs="Consolas" w:eastAsia="Consolas" w:hAnsi="Consolas"/>
                <w:color w:val="D4D4D4"/>
                <w:sz w:val="16"/>
                <w:szCs w:val="16"/>
              </w:rPr>
              <w:t xml:space="preserve">  cache:</w:t>
            </w:r>
          </w:p>
          <w:p>
            <w:pPr>
              <w:spacing w:after="0"/>
            </w:pPr>
            <w:r>
              <w:rPr>
                <w:rFonts w:ascii="Consolas" w:cs="Consolas" w:eastAsia="Consolas" w:hAnsi="Consolas"/>
                <w:color w:val="D4D4D4"/>
                <w:sz w:val="16"/>
                <w:szCs w:val="16"/>
              </w:rPr>
              <w:t xml:space="preserve">    key: "$CI_COMMIT_REF_SLUG-pnpm"</w:t>
            </w:r>
          </w:p>
          <w:p>
            <w:pPr>
              <w:spacing w:after="0"/>
            </w:pPr>
            <w:r>
              <w:rPr>
                <w:rFonts w:ascii="Consolas" w:cs="Consolas" w:eastAsia="Consolas" w:hAnsi="Consolas"/>
                <w:color w:val="D4D4D4"/>
                <w:sz w:val="16"/>
                <w:szCs w:val="16"/>
              </w:rPr>
              <w:t xml:space="preserve">    paths: [".pnpm-store/"]</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 ["dist/"]</w:t>
            </w:r>
          </w:p>
        </w:tc>
      </w:tr>
    </w:tbl>
    <w:p>
      <w:pPr>
        <w:pStyle w:val="Heading2"/>
        <w:spacing w:after="180" w:before="360"/>
      </w:pPr>
      <w:r>
        <w:rPr>
          <w:b/>
          <w:bCs/>
        </w:rPr>
        <w:t xml:space="preserve">4.3. Template Python (Pipenv / Poetry)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templates/lang/python-poetry.yml</w:t>
            </w:r>
          </w:p>
          <w:p>
            <w:pPr>
              <w:spacing w:after="0"/>
            </w:pPr>
            <w:r>
              <w:rPr>
                <w:rFonts w:ascii="Consolas" w:cs="Consolas" w:eastAsia="Consolas" w:hAnsi="Consolas"/>
                <w:color w:val="D4D4D4"/>
                <w:sz w:val="16"/>
                <w:szCs w:val="16"/>
              </w:rPr>
              <w:t xml:space="preserve">include: '/templates/base.gitlab-ci.yml'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build-python:</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registry.interna.empresa.com/python:3.12-slim</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pip install poetry --break-system-packages</w:t>
            </w:r>
          </w:p>
          <w:p>
            <w:pPr>
              <w:spacing w:after="0"/>
            </w:pPr>
            <w:r>
              <w:rPr>
                <w:rFonts w:ascii="Consolas" w:cs="Consolas" w:eastAsia="Consolas" w:hAnsi="Consolas"/>
                <w:color w:val="D4D4D4"/>
                <w:sz w:val="16"/>
                <w:szCs w:val="16"/>
              </w:rPr>
              <w:t xml:space="preserve">    - poetry install --no-interaction --sync</w:t>
            </w:r>
          </w:p>
          <w:p>
            <w:pPr>
              <w:spacing w:after="0"/>
            </w:pPr>
            <w:r>
              <w:rPr>
                <w:rFonts w:ascii="Consolas" w:cs="Consolas" w:eastAsia="Consolas" w:hAnsi="Consolas"/>
                <w:color w:val="D4D4D4"/>
                <w:sz w:val="16"/>
                <w:szCs w:val="16"/>
              </w:rPr>
              <w:t xml:space="preserve">  cache:</w:t>
            </w:r>
          </w:p>
          <w:p>
            <w:pPr>
              <w:spacing w:after="0"/>
            </w:pPr>
            <w:r>
              <w:rPr>
                <w:rFonts w:ascii="Consolas" w:cs="Consolas" w:eastAsia="Consolas" w:hAnsi="Consolas"/>
                <w:color w:val="D4D4D4"/>
                <w:sz w:val="16"/>
                <w:szCs w:val="16"/>
              </w:rPr>
              <w:t xml:space="preserve">    key: "$CI_COMMIT_REF_SLUG-poetry"</w:t>
            </w:r>
          </w:p>
          <w:p>
            <w:pPr>
              <w:spacing w:after="0"/>
            </w:pPr>
            <w:r>
              <w:rPr>
                <w:rFonts w:ascii="Consolas" w:cs="Consolas" w:eastAsia="Consolas" w:hAnsi="Consolas"/>
                <w:color w:val="D4D4D4"/>
                <w:sz w:val="16"/>
                <w:szCs w:val="16"/>
              </w:rPr>
              <w:t xml:space="preserve">    paths: [".venv/"]</w:t>
            </w:r>
          </w:p>
        </w:tc>
      </w:tr>
    </w:tbl>
    <w:p>
      <w:pPr>
        <w:pStyle w:val="Heading2"/>
        <w:spacing w:after="180" w:before="360"/>
      </w:pPr>
      <w:r>
        <w:rPr>
          <w:b/>
          <w:bCs/>
        </w:rPr>
        <w:t xml:space="preserve">4.4. Template .NET Core (NuGet)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templates/lang/dotnet.yml</w:t>
            </w:r>
          </w:p>
          <w:p>
            <w:pPr>
              <w:spacing w:after="0"/>
            </w:pPr>
            <w:r>
              <w:rPr>
                <w:rFonts w:ascii="Consolas" w:cs="Consolas" w:eastAsia="Consolas" w:hAnsi="Consolas"/>
                <w:color w:val="D4D4D4"/>
                <w:sz w:val="16"/>
                <w:szCs w:val="16"/>
              </w:rPr>
              <w:t xml:space="preserve">include: '/templates/base.gitlab-ci.yml'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build-dotnet:</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registry.interna.empresa.com/dotnet-sdk:8.0</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dotnet restore --locked-mode</w:t>
            </w:r>
          </w:p>
          <w:p>
            <w:pPr>
              <w:spacing w:after="0"/>
            </w:pPr>
            <w:r>
              <w:rPr>
                <w:rFonts w:ascii="Consolas" w:cs="Consolas" w:eastAsia="Consolas" w:hAnsi="Consolas"/>
                <w:color w:val="D4D4D4"/>
                <w:sz w:val="16"/>
                <w:szCs w:val="16"/>
              </w:rPr>
              <w:t xml:space="preserve">    - dotnet build -c Release --no-restore</w:t>
            </w:r>
          </w:p>
          <w:p>
            <w:pPr>
              <w:spacing w:after="0"/>
            </w:pPr>
            <w:r>
              <w:rPr>
                <w:rFonts w:ascii="Consolas" w:cs="Consolas" w:eastAsia="Consolas" w:hAnsi="Consolas"/>
                <w:color w:val="D4D4D4"/>
                <w:sz w:val="16"/>
                <w:szCs w:val="16"/>
              </w:rPr>
              <w:t xml:space="preserve">  cache:</w:t>
            </w:r>
          </w:p>
          <w:p>
            <w:pPr>
              <w:spacing w:after="0"/>
            </w:pPr>
            <w:r>
              <w:rPr>
                <w:rFonts w:ascii="Consolas" w:cs="Consolas" w:eastAsia="Consolas" w:hAnsi="Consolas"/>
                <w:color w:val="D4D4D4"/>
                <w:sz w:val="16"/>
                <w:szCs w:val="16"/>
              </w:rPr>
              <w:t xml:space="preserve">    key: "$CI_COMMIT_REF_SLUG-nuget"</w:t>
            </w:r>
          </w:p>
          <w:p>
            <w:pPr>
              <w:spacing w:after="0"/>
            </w:pPr>
            <w:r>
              <w:rPr>
                <w:rFonts w:ascii="Consolas" w:cs="Consolas" w:eastAsia="Consolas" w:hAnsi="Consolas"/>
                <w:color w:val="D4D4D4"/>
                <w:sz w:val="16"/>
                <w:szCs w:val="16"/>
              </w:rPr>
              <w:t xml:space="preserve">    paths: [".nuget/packages"]</w:t>
            </w:r>
          </w:p>
        </w:tc>
      </w:tr>
    </w:tbl>
    <w:p>
      <w:pPr>
        <w:pStyle w:val="Heading2"/>
        <w:spacing w:after="180" w:before="360"/>
      </w:pPr>
      <w:r>
        <w:rPr>
          <w:b/>
          <w:bCs/>
        </w:rPr>
        <w:t xml:space="preserve">4.5. Template Frontend (Angular / React / Vue)</w:t>
      </w:r>
    </w:p>
    <w:p>
      <w:pPr>
        <w:spacing w:after="200" w:line="276"/>
      </w:pPr>
      <w:r>
        <w:t xml:space="preserve">Un único template cubre los tres frameworks de frontend homologados, dado que comparten el mismo ecosistema de build basado en Node.js; la diferencia entre frameworks se limita al script de build definido en el package.json de cada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templates/lang/frontend.yml (Angular / React / Vue)</w:t>
            </w:r>
          </w:p>
          <w:p>
            <w:pPr>
              <w:spacing w:after="0"/>
            </w:pPr>
            <w:r>
              <w:rPr>
                <w:rFonts w:ascii="Consolas" w:cs="Consolas" w:eastAsia="Consolas" w:hAnsi="Consolas"/>
                <w:color w:val="D4D4D4"/>
                <w:sz w:val="16"/>
                <w:szCs w:val="16"/>
              </w:rPr>
              <w:t xml:space="preserve">include: '/templates/base.gitlab-ci.yml'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build-frontend:</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registry.interna.empresa.com/node:20-alpine</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npm ci</w:t>
            </w:r>
          </w:p>
          <w:p>
            <w:pPr>
              <w:spacing w:after="0"/>
            </w:pPr>
            <w:r>
              <w:rPr>
                <w:rFonts w:ascii="Consolas" w:cs="Consolas" w:eastAsia="Consolas" w:hAnsi="Consolas"/>
                <w:color w:val="D4D4D4"/>
                <w:sz w:val="16"/>
                <w:szCs w:val="16"/>
              </w:rPr>
              <w:t xml:space="preserve">    - npm run build -- --configuration=production</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 ["dist/"]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lighthouse-audit:</w:t>
            </w:r>
          </w:p>
          <w:p>
            <w:pPr>
              <w:spacing w:after="0"/>
            </w:pPr>
            <w:r>
              <w:rPr>
                <w:rFonts w:ascii="Consolas" w:cs="Consolas" w:eastAsia="Consolas" w:hAnsi="Consolas"/>
                <w:color w:val="D4D4D4"/>
                <w:sz w:val="16"/>
                <w:szCs w:val="16"/>
              </w:rPr>
              <w:t xml:space="preserve">  stage: post-deploy</w:t>
            </w:r>
          </w:p>
          <w:p>
            <w:pPr>
              <w:spacing w:after="0"/>
            </w:pPr>
            <w:r>
              <w:rPr>
                <w:rFonts w:ascii="Consolas" w:cs="Consolas" w:eastAsia="Consolas" w:hAnsi="Consolas"/>
                <w:color w:val="D4D4D4"/>
                <w:sz w:val="16"/>
                <w:szCs w:val="16"/>
              </w:rPr>
              <w:t xml:space="preserve">  script: ["npx lhci autorun"]</w:t>
            </w:r>
          </w:p>
          <w:p>
            <w:pPr>
              <w:spacing w:after="0"/>
            </w:pPr>
            <w:r>
              <w:rPr>
                <w:rFonts w:ascii="Consolas" w:cs="Consolas" w:eastAsia="Consolas" w:hAnsi="Consolas"/>
                <w:color w:val="D4D4D4"/>
                <w:sz w:val="16"/>
                <w:szCs w:val="16"/>
              </w:rPr>
              <w:t xml:space="preserve">  allow_failure: true   # informativo, no bloquea el pipeline</w:t>
            </w:r>
          </w:p>
        </w:tc>
      </w:tr>
    </w:tbl>
    <w:p>
      <w:pPr>
        <w:pStyle w:val="Heading1"/>
        <w:pageBreakBefore/>
        <w:spacing w:after="240" w:before="480"/>
      </w:pPr>
      <w:r>
        <w:rPr>
          <w:b/>
          <w:bCs/>
        </w:rPr>
        <w:t xml:space="preserve">5. Catálogo de Templates para Infraestructura como Código (IaC)</w:t>
      </w:r>
    </w:p>
    <w:p>
      <w:pPr>
        <w:spacing w:after="200" w:line="276"/>
      </w:pPr>
      <w:r>
        <w:t xml:space="preserve">Los templates de esta sección aplican los mismos principios de gobierno que los de aplicación, adaptados al ciclo de vida de plan/apply propio de la infraestructura como código, conforme a ARC-001, sección 3.2.</w:t>
      </w:r>
    </w:p>
    <w:p>
      <w:pPr>
        <w:pStyle w:val="Heading2"/>
        <w:spacing w:after="180" w:before="360"/>
      </w:pPr>
      <w:r>
        <w:rPr>
          <w:b/>
          <w:bCs/>
        </w:rPr>
        <w:t xml:space="preserve">5.1. Template Terraform / OpenTofu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templates/iac/terraform.yml</w:t>
            </w:r>
          </w:p>
          <w:p>
            <w:pPr>
              <w:spacing w:after="0"/>
            </w:pPr>
            <w:r>
              <w:rPr>
                <w:rFonts w:ascii="Consolas" w:cs="Consolas" w:eastAsia="Consolas" w:hAnsi="Consolas"/>
                <w:color w:val="D4D4D4"/>
                <w:sz w:val="16"/>
                <w:szCs w:val="16"/>
              </w:rPr>
              <w:t xml:space="preserve">plan:</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registry.interna.empresa.com/terraform:1.8</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terraform init -backend-config="backend-${CI_ENVIRONMENT_NAME}.hcl"</w:t>
            </w:r>
          </w:p>
          <w:p>
            <w:pPr>
              <w:spacing w:after="0"/>
            </w:pPr>
            <w:r>
              <w:rPr>
                <w:rFonts w:ascii="Consolas" w:cs="Consolas" w:eastAsia="Consolas" w:hAnsi="Consolas"/>
                <w:color w:val="D4D4D4"/>
                <w:sz w:val="16"/>
                <w:szCs w:val="16"/>
              </w:rPr>
              <w:t xml:space="preserve">    - terraform plan -out=tfplan</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 ["tfplan"]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apply:</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script: ["terraform apply -auto-approve tfplan"]</w:t>
            </w:r>
          </w:p>
          <w:p>
            <w:pPr>
              <w:spacing w:after="0"/>
            </w:pPr>
            <w:r>
              <w:rPr>
                <w:rFonts w:ascii="Consolas" w:cs="Consolas" w:eastAsia="Consolas" w:hAnsi="Consolas"/>
                <w:color w:val="D4D4D4"/>
                <w:sz w:val="16"/>
                <w:szCs w:val="16"/>
              </w:rPr>
              <w:t xml:space="preserve">  when: manual   # ver GOB-001 sección 5.3</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'$CI_COMMIT_BRANCH == "main"'</w:t>
            </w:r>
          </w:p>
        </w:tc>
      </w:tr>
    </w:tbl>
    <w:p>
      <w:pPr>
        <w:pStyle w:val="Heading2"/>
        <w:spacing w:after="180" w:before="360"/>
      </w:pPr>
      <w:r>
        <w:rPr>
          <w:b/>
          <w:bCs/>
        </w:rPr>
        <w:t xml:space="preserve">5.2. Template AWS Bicep / CloudFormation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templates/iac/cloudformation.yml</w:t>
            </w:r>
          </w:p>
          <w:p>
            <w:pPr>
              <w:spacing w:after="0"/>
            </w:pPr>
            <w:r>
              <w:rPr>
                <w:rFonts w:ascii="Consolas" w:cs="Consolas" w:eastAsia="Consolas" w:hAnsi="Consolas"/>
                <w:color w:val="D4D4D4"/>
                <w:sz w:val="16"/>
                <w:szCs w:val="16"/>
              </w:rPr>
              <w:t xml:space="preserve">validate-stack:</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aws cloudformation validate-template --template-body file://stack.yaml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deploy-stack:</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aws cloudformation deploy</w:t>
            </w:r>
          </w:p>
          <w:p>
            <w:pPr>
              <w:spacing w:after="0"/>
            </w:pPr>
            <w:r>
              <w:rPr>
                <w:rFonts w:ascii="Consolas" w:cs="Consolas" w:eastAsia="Consolas" w:hAnsi="Consolas"/>
                <w:color w:val="D4D4D4"/>
                <w:sz w:val="16"/>
                <w:szCs w:val="16"/>
              </w:rPr>
              <w:t xml:space="preserve">        --template-file stack.yaml</w:t>
            </w:r>
          </w:p>
          <w:p>
            <w:pPr>
              <w:spacing w:after="0"/>
            </w:pPr>
            <w:r>
              <w:rPr>
                <w:rFonts w:ascii="Consolas" w:cs="Consolas" w:eastAsia="Consolas" w:hAnsi="Consolas"/>
                <w:color w:val="D4D4D4"/>
                <w:sz w:val="16"/>
                <w:szCs w:val="16"/>
              </w:rPr>
              <w:t xml:space="preserve">        --stack-name ${CI_PROJECT_NAME}-${CI_ENVIRONMENT_NAME}</w:t>
            </w:r>
          </w:p>
          <w:p>
            <w:pPr>
              <w:spacing w:after="0"/>
            </w:pPr>
            <w:r>
              <w:rPr>
                <w:rFonts w:ascii="Consolas" w:cs="Consolas" w:eastAsia="Consolas" w:hAnsi="Consolas"/>
                <w:color w:val="D4D4D4"/>
                <w:sz w:val="16"/>
                <w:szCs w:val="16"/>
              </w:rPr>
              <w:t xml:space="preserve">        --capabilities CAPABILITY_NAMED_IAM</w:t>
            </w:r>
          </w:p>
          <w:p>
            <w:pPr>
              <w:spacing w:after="0"/>
            </w:pPr>
            <w:r>
              <w:rPr>
                <w:rFonts w:ascii="Consolas" w:cs="Consolas" w:eastAsia="Consolas" w:hAnsi="Consolas"/>
                <w:color w:val="D4D4D4"/>
                <w:sz w:val="16"/>
                <w:szCs w:val="16"/>
              </w:rPr>
              <w:t xml:space="preserve">  when: manual</w:t>
            </w:r>
          </w:p>
        </w:tc>
      </w:tr>
    </w:tbl>
    <w:p>
      <w:pPr>
        <w:pStyle w:val="Heading2"/>
        <w:spacing w:after="180" w:before="360"/>
      </w:pPr>
      <w:r>
        <w:rPr>
          <w:b/>
          <w:bCs/>
        </w:rPr>
        <w:t xml:space="preserve">5.3. Template Helm Charts / Kubernetes Manifests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templates/iac/helm.yml</w:t>
            </w:r>
          </w:p>
          <w:p>
            <w:pPr>
              <w:spacing w:after="0"/>
            </w:pPr>
            <w:r>
              <w:rPr>
                <w:rFonts w:ascii="Consolas" w:cs="Consolas" w:eastAsia="Consolas" w:hAnsi="Consolas"/>
                <w:color w:val="D4D4D4"/>
                <w:sz w:val="16"/>
                <w:szCs w:val="16"/>
              </w:rPr>
              <w:t xml:space="preserve">lint-chart:</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script: ["helm lint ./chart"]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deploy-helm:</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helm upgrade --install ${CI_PROJECT_NAME} ./chart</w:t>
            </w:r>
          </w:p>
          <w:p>
            <w:pPr>
              <w:spacing w:after="0"/>
            </w:pPr>
            <w:r>
              <w:rPr>
                <w:rFonts w:ascii="Consolas" w:cs="Consolas" w:eastAsia="Consolas" w:hAnsi="Consolas"/>
                <w:color w:val="D4D4D4"/>
                <w:sz w:val="16"/>
                <w:szCs w:val="16"/>
              </w:rPr>
              <w:t xml:space="preserve">        -f values-${CI_ENVIRONMENT_NAME}.yaml</w:t>
            </w:r>
          </w:p>
          <w:p>
            <w:pPr>
              <w:spacing w:after="0"/>
            </w:pPr>
            <w:r>
              <w:rPr>
                <w:rFonts w:ascii="Consolas" w:cs="Consolas" w:eastAsia="Consolas" w:hAnsi="Consolas"/>
                <w:color w:val="D4D4D4"/>
                <w:sz w:val="16"/>
                <w:szCs w:val="16"/>
              </w:rPr>
              <w:t xml:space="preserve">        --namespace ${CI_PROJECT_NAME}-${CI_ENVIRONMENT_NAME}</w:t>
            </w:r>
          </w:p>
          <w:p>
            <w:pPr>
              <w:spacing w:after="0"/>
            </w:pPr>
            <w:r>
              <w:rPr>
                <w:rFonts w:ascii="Consolas" w:cs="Consolas" w:eastAsia="Consolas" w:hAnsi="Consolas"/>
                <w:color w:val="D4D4D4"/>
                <w:sz w:val="16"/>
                <w:szCs w:val="16"/>
              </w:rPr>
              <w:t xml:space="preserve">        --atomic --timeout 5m</w:t>
            </w:r>
          </w:p>
        </w:tc>
      </w:tr>
    </w:tbl>
    <w:p>
      <w:pPr>
        <w:pStyle w:val="Heading1"/>
        <w:pageBreakBefore/>
        <w:spacing w:after="240" w:before="480"/>
      </w:pPr>
      <w:r>
        <w:rPr>
          <w:b/>
          <w:bCs/>
        </w:rPr>
        <w:t xml:space="preserve">6. Procedimiento para Proponer y Publicar un Nuevo Template</w:t>
      </w:r>
    </w:p>
    <w:p>
      <w:pPr>
        <w:spacing w:after="200" w:line="276"/>
      </w:pPr>
      <w:r>
        <w:t xml:space="preserve">Cuando un equipo necesita un stack no cubierto por el catálogo actual, sigue el siguiente procedimiento en lugar de crear una configuración de pipeline aislada y no gobernada: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5300"/>
        <w:gridCol w:w="2400"/>
      </w:tblGrid>
      <w:tr>
        <w:trPr>
          <w:tblHeader/>
        </w:trPr>
        <w:tc>
          <w:tcPr>
            <w:tcW w:type="dxa" w:w="1650"/>
            <w:shd w:fill="1F3864" w:val="clear"/>
            <w:tcMar>
              <w:top w:type="dxa" w:w="80"/>
              <w:left w:type="dxa" w:w="100"/>
              <w:bottom w:type="dxa" w:w="80"/>
              <w:right w:type="dxa" w:w="100"/>
            </w:tcMar>
            <w:vAlign w:val="center"/>
          </w:tcPr>
          <w:p>
            <w:pPr>
              <w:jc w:val="left"/>
            </w:pPr>
            <w:r>
              <w:rPr>
                <w:b/>
                <w:bCs/>
                <w:color w:val="FFFFFF"/>
              </w:rPr>
              <w:t xml:space="preserve">Etapa</w:t>
            </w:r>
          </w:p>
        </w:tc>
        <w:tc>
          <w:tcPr>
            <w:tcW w:type="dxa" w:w="5300"/>
            <w:shd w:fill="1F3864" w:val="clear"/>
            <w:tcMar>
              <w:top w:type="dxa" w:w="80"/>
              <w:left w:type="dxa" w:w="100"/>
              <w:bottom w:type="dxa" w:w="80"/>
              <w:right w:type="dxa" w:w="100"/>
            </w:tcMar>
            <w:vAlign w:val="center"/>
          </w:tcPr>
          <w:p>
            <w:pPr>
              <w:jc w:val="left"/>
            </w:pPr>
            <w:r>
              <w:rPr>
                <w:b/>
                <w:bCs/>
                <w:color w:val="FFFFFF"/>
              </w:rPr>
              <w:t xml:space="preserve">Descripción</w:t>
            </w:r>
          </w:p>
        </w:tc>
        <w:tc>
          <w:tcPr>
            <w:tcW w:type="dxa" w:w="2400"/>
            <w:shd w:fill="1F3864" w:val="clear"/>
            <w:tcMar>
              <w:top w:type="dxa" w:w="80"/>
              <w:left w:type="dxa" w:w="100"/>
              <w:bottom w:type="dxa" w:w="80"/>
              <w:right w:type="dxa" w:w="100"/>
            </w:tcMar>
            <w:vAlign w:val="center"/>
          </w:tcPr>
          <w:p>
            <w:pPr>
              <w:jc w:val="left"/>
            </w:pPr>
            <w:r>
              <w:rPr>
                <w:b/>
                <w:bCs/>
                <w:color w:val="FFFFFF"/>
              </w:rPr>
              <w:t xml:space="preserve">Responsable</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1. Solicitud</w:t>
            </w:r>
          </w:p>
        </w:tc>
        <w:tc>
          <w:tcPr>
            <w:tcW w:type="dxa" w:w="5300"/>
            <w:shd w:fill="FFFFFF" w:val="clear"/>
            <w:tcMar>
              <w:top w:type="dxa" w:w="80"/>
              <w:left w:type="dxa" w:w="100"/>
              <w:bottom w:type="dxa" w:w="80"/>
              <w:right w:type="dxa" w:w="100"/>
            </w:tcMar>
            <w:vAlign w:val="center"/>
          </w:tcPr>
          <w:p>
            <w:pPr>
              <w:jc w:val="left"/>
            </w:pPr>
            <w:r>
              <w:rPr>
                <w:b w:val="false"/>
                <w:bCs w:val="false"/>
                <w:color w:val="000000"/>
              </w:rPr>
              <w:t xml:space="preserve">Se abre un issue en el repositorio ci-templates describiendo el stack o caso de uso no cubierto por el catálogo actual (ver anexo 7.1).</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Equipo solicitante</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rPr>
              <w:t xml:space="preserve">2. Diseño</w:t>
            </w:r>
          </w:p>
        </w:tc>
        <w:tc>
          <w:tcPr>
            <w:tcW w:type="dxa" w:w="5300"/>
            <w:shd w:fill="F2F2F2" w:val="clear"/>
            <w:tcMar>
              <w:top w:type="dxa" w:w="80"/>
              <w:left w:type="dxa" w:w="100"/>
              <w:bottom w:type="dxa" w:w="80"/>
              <w:right w:type="dxa" w:w="100"/>
            </w:tcMar>
            <w:vAlign w:val="center"/>
          </w:tcPr>
          <w:p>
            <w:pPr>
              <w:jc w:val="left"/>
            </w:pPr>
            <w:r>
              <w:rPr>
                <w:b w:val="false"/>
                <w:bCs w:val="false"/>
                <w:color w:val="000000"/>
              </w:rPr>
              <w:t xml:space="preserve">Se define la estructura de etapas reutilizando la plantilla base de ENG-002 y se identifica el proyecto fixture de prueba.</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Equipo solicitante + Plataforma</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3. Implementación</w:t>
            </w:r>
          </w:p>
        </w:tc>
        <w:tc>
          <w:tcPr>
            <w:tcW w:type="dxa" w:w="5300"/>
            <w:shd w:fill="FFFFFF" w:val="clear"/>
            <w:tcMar>
              <w:top w:type="dxa" w:w="80"/>
              <w:left w:type="dxa" w:w="100"/>
              <w:bottom w:type="dxa" w:w="80"/>
              <w:right w:type="dxa" w:w="100"/>
            </w:tcMar>
            <w:vAlign w:val="center"/>
          </w:tcPr>
          <w:p>
            <w:pPr>
              <w:jc w:val="left"/>
            </w:pPr>
            <w:r>
              <w:rPr>
                <w:b w:val="false"/>
                <w:bCs w:val="false"/>
                <w:color w:val="000000"/>
              </w:rPr>
              <w:t xml:space="preserve">Se desarrolla el template en una rama de feature, incluyendo pruebas contra el proyecto fixture.</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Equipo solicitante</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rPr>
              <w:t xml:space="preserve">4. Revisión</w:t>
            </w:r>
          </w:p>
        </w:tc>
        <w:tc>
          <w:tcPr>
            <w:tcW w:type="dxa" w:w="5300"/>
            <w:shd w:fill="F2F2F2" w:val="clear"/>
            <w:tcMar>
              <w:top w:type="dxa" w:w="80"/>
              <w:left w:type="dxa" w:w="100"/>
              <w:bottom w:type="dxa" w:w="80"/>
              <w:right w:type="dxa" w:w="100"/>
            </w:tcMar>
            <w:vAlign w:val="center"/>
          </w:tcPr>
          <w:p>
            <w:pPr>
              <w:jc w:val="left"/>
            </w:pPr>
            <w:r>
              <w:rPr>
                <w:b w:val="false"/>
                <w:bCs w:val="false"/>
                <w:color w:val="000000"/>
              </w:rPr>
              <w:t xml:space="preserve">Un representante de la Guild de Ingeniería y uno de Plataforma revisan el template contra los estándares de ENG-001 y SEC-001.</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Guild de Ingeniería / Plataforma</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5. Publicación</w:t>
            </w:r>
          </w:p>
        </w:tc>
        <w:tc>
          <w:tcPr>
            <w:tcW w:type="dxa" w:w="5300"/>
            <w:shd w:fill="FFFFFF" w:val="clear"/>
            <w:tcMar>
              <w:top w:type="dxa" w:w="80"/>
              <w:left w:type="dxa" w:w="100"/>
              <w:bottom w:type="dxa" w:w="80"/>
              <w:right w:type="dxa" w:w="100"/>
            </w:tcMar>
            <w:vAlign w:val="center"/>
          </w:tcPr>
          <w:p>
            <w:pPr>
              <w:jc w:val="left"/>
            </w:pPr>
            <w:r>
              <w:rPr>
                <w:b w:val="false"/>
                <w:bCs w:val="false"/>
                <w:color w:val="000000"/>
              </w:rPr>
              <w:t xml:space="preserve">Se etiqueta la primera versión (v1.0.0), se documenta en el catálogo (capítulo 4 o 5) y se actualiza la matriz de cobertura del anexo 7.1.</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Plataforma</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rPr>
              <w:t xml:space="preserve">6. Adopción piloto</w:t>
            </w:r>
          </w:p>
        </w:tc>
        <w:tc>
          <w:tcPr>
            <w:tcW w:type="dxa" w:w="5300"/>
            <w:shd w:fill="F2F2F2" w:val="clear"/>
            <w:tcMar>
              <w:top w:type="dxa" w:w="80"/>
              <w:left w:type="dxa" w:w="100"/>
              <w:bottom w:type="dxa" w:w="80"/>
              <w:right w:type="dxa" w:w="100"/>
            </w:tcMar>
            <w:vAlign w:val="center"/>
          </w:tcPr>
          <w:p>
            <w:pPr>
              <w:jc w:val="left"/>
            </w:pPr>
            <w:r>
              <w:rPr>
                <w:b w:val="false"/>
                <w:bCs w:val="false"/>
                <w:color w:val="000000"/>
              </w:rPr>
              <w:t xml:space="preserve">Se adopta en al menos un proyecto real durante 2 semanas antes de promoverse como template recomendado por defecto.</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Equipo solicitante</w:t>
            </w:r>
          </w:p>
        </w:tc>
      </w:tr>
    </w:tbl>
    <w:p>
      <w:pPr>
        <w:spacing w:after="200" w:line="276"/>
      </w:pPr>
      <w:r>
        <w:t xml:space="preserve">Un template que no complete el ciclo de adopción piloto (etapa 6) en un plazo de 60 días se marca como experimental y no se recomienda para nuevos proyectos hasta validar su estabilidad.</w:t>
      </w:r>
    </w:p>
    <w:p>
      <w:pPr>
        <w:pStyle w:val="Heading1"/>
        <w:pageBreakBefore/>
        <w:spacing w:after="240" w:before="480"/>
      </w:pPr>
      <w:r>
        <w:rPr>
          <w:b/>
          <w:bCs/>
        </w:rPr>
        <w:t xml:space="preserve">7. Anexos</w:t>
      </w:r>
    </w:p>
    <w:p>
      <w:pPr>
        <w:pStyle w:val="Heading2"/>
        <w:spacing w:after="180" w:before="360"/>
      </w:pPr>
      <w:r>
        <w:rPr>
          <w:b/>
          <w:bCs/>
        </w:rPr>
        <w:t xml:space="preserve">7.1. Matriz de Cobertura de Templates vs. Stacks Oficiales</w:t>
      </w:r>
    </w:p>
    <w:p>
      <w:pPr>
        <w:spacing w:after="200" w:line="276"/>
      </w:pPr>
      <w:r>
        <w:t xml:space="preserve">La siguiente matriz confirma qué stacks del ecosistema tecnológico objetivo (ARC-001, capítulo 4) cuentan con un template homologado, y su nivel de cobertura de controles de seguridad conforme a SEC-001.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900"/>
        <w:gridCol w:w="1900"/>
        <w:gridCol w:w="2200"/>
      </w:tblGrid>
      <w:tr>
        <w:trPr>
          <w:tblHeader/>
        </w:trPr>
        <w:tc>
          <w:tcPr>
            <w:tcW w:type="dxa" w:w="3350"/>
            <w:shd w:fill="1F3864" w:val="clear"/>
            <w:tcMar>
              <w:top w:type="dxa" w:w="80"/>
              <w:left w:type="dxa" w:w="100"/>
              <w:bottom w:type="dxa" w:w="80"/>
              <w:right w:type="dxa" w:w="100"/>
            </w:tcMar>
            <w:vAlign w:val="center"/>
          </w:tcPr>
          <w:p>
            <w:pPr>
              <w:jc w:val="left"/>
            </w:pPr>
            <w:r>
              <w:rPr>
                <w:b/>
                <w:bCs/>
                <w:color w:val="FFFFFF"/>
              </w:rPr>
              <w:t xml:space="preserve">Stack Oficial (ver ARC-001, cap. 4)</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Template Disponible</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Versión Vigente</w:t>
            </w:r>
          </w:p>
        </w:tc>
        <w:tc>
          <w:tcPr>
            <w:tcW w:type="dxa" w:w="2200"/>
            <w:shd w:fill="1F3864" w:val="clear"/>
            <w:tcMar>
              <w:top w:type="dxa" w:w="80"/>
              <w:left w:type="dxa" w:w="100"/>
              <w:bottom w:type="dxa" w:w="80"/>
              <w:right w:type="dxa" w:w="100"/>
            </w:tcMar>
            <w:vAlign w:val="center"/>
          </w:tcPr>
          <w:p>
            <w:pPr>
              <w:jc w:val="center"/>
            </w:pPr>
            <w:r>
              <w:rPr>
                <w:b/>
                <w:bCs/>
                <w:color w:val="FFFFFF"/>
              </w:rPr>
              <w:t xml:space="preserve">Cobertura de Seguridad (SEC-001)</w:t>
            </w:r>
          </w:p>
        </w:tc>
      </w:tr>
      <w:tr>
        <w:tc>
          <w:tcPr>
            <w:tcW w:type="dxa" w:w="3350"/>
            <w:tcMar>
              <w:top w:type="dxa" w:w="80"/>
              <w:left w:type="dxa" w:w="100"/>
              <w:bottom w:type="dxa" w:w="80"/>
              <w:right w:type="dxa" w:w="100"/>
            </w:tcMar>
            <w:vAlign w:val="center"/>
          </w:tcPr>
          <w:p>
            <w:pPr>
              <w:jc w:val="left"/>
            </w:pPr>
            <w:r>
              <w:rPr>
                <w:b w:val="false"/>
                <w:bCs w:val="false"/>
                <w:color w:val="000000"/>
              </w:rPr>
              <w:t xml:space="preserve">Java / Spring Boot (Maven)</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v2.3.1</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Java / Spring Boot (Gradle)</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v2.1.0</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Node.js / TypeScript</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v3.0.2</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Python (Poetry)</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v1.4.0</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.NET Core</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v1.2.0</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Frontend (Angular / React / Vue)</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v2.0.1</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Terraform / OpenTofu</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v1.6.0</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AWS CloudFormation</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v1.1.0</w:t>
            </w:r>
          </w:p>
        </w:tc>
        <w:tc>
          <w:tcPr>
            <w:tcW w:type="dxa" w:w="2200"/>
            <w:tcMar>
              <w:top w:type="dxa" w:w="80"/>
              <w:left w:type="dxa" w:w="100"/>
              <w:bottom w:type="dxa" w:w="80"/>
              <w:right w:type="dxa" w:w="100"/>
            </w:tcMar>
            <w:vAlign w:val="center"/>
          </w:tcPr>
          <w:p>
            <w:pPr>
              <w:jc w:val="center"/>
            </w:pPr>
            <w:r>
              <w:rPr>
                <w:b w:val="false"/>
                <w:bCs w:val="false"/>
                <w:color w:val="000000"/>
              </w:rPr>
              <w:t xml:space="preserve">Parcial (sin Container Scanning aplicable)</w:t>
            </w:r>
          </w:p>
        </w:tc>
      </w:tr>
      <w:tr>
        <w:tc>
          <w:tcPr>
            <w:tcW w:type="dxa" w:w="3350"/>
            <w:tcMar>
              <w:top w:type="dxa" w:w="80"/>
              <w:left w:type="dxa" w:w="100"/>
              <w:bottom w:type="dxa" w:w="80"/>
              <w:right w:type="dxa" w:w="100"/>
            </w:tcMar>
            <w:vAlign w:val="center"/>
          </w:tcPr>
          <w:p>
            <w:pPr>
              <w:jc w:val="left"/>
            </w:pPr>
            <w:r>
              <w:rPr>
                <w:b w:val="false"/>
                <w:bCs w:val="false"/>
                <w:color w:val="000000"/>
              </w:rPr>
              <w:t xml:space="preserve">Helm Charts / Kubernetes Manifests</w:t>
            </w:r>
          </w:p>
        </w:tc>
        <w:tc>
          <w:tcPr>
            <w:tcW w:type="dxa" w:w="1550"/>
            <w:shd w:fill="E2EFDA" w:val="clear"/>
            <w:tcMar>
              <w:top w:type="dxa" w:w="80"/>
              <w:left w:type="dxa" w:w="100"/>
              <w:bottom w:type="dxa" w:w="80"/>
              <w:right w:type="dxa" w:w="100"/>
            </w:tcMar>
            <w:vAlign w:val="center"/>
          </w:tcPr>
          <w:p>
            <w:pPr>
              <w:jc w:val="center"/>
            </w:pPr>
            <w:r>
              <w:rPr>
                <w:b/>
                <w:bCs/>
                <w:color w:val="375623"/>
              </w:rPr>
              <w:t xml:space="preserve">Sí</w:t>
            </w:r>
          </w:p>
        </w:tc>
        <w:tc>
          <w:tcPr>
            <w:tcW w:type="dxa" w:w="1900"/>
            <w:tcMar>
              <w:top w:type="dxa" w:w="80"/>
              <w:left w:type="dxa" w:w="100"/>
              <w:bottom w:type="dxa" w:w="80"/>
              <w:right w:type="dxa" w:w="100"/>
            </w:tcMar>
            <w:vAlign w:val="center"/>
          </w:tcPr>
          <w:p>
            <w:pPr>
              <w:jc w:val="center"/>
            </w:pPr>
            <w:r>
              <w:rPr>
                <w:b w:val="false"/>
                <w:bCs w:val="false"/>
                <w:color w:val="000000"/>
              </w:rPr>
              <w:t xml:space="preserve">v1.3.0</w:t>
            </w:r>
          </w:p>
        </w:tc>
        <w:tc>
          <w:tcPr>
            <w:tcW w:type="dxa" w:w="2200"/>
            <w:tcMar>
              <w:top w:type="dxa" w:w="80"/>
              <w:left w:type="dxa" w:w="100"/>
              <w:bottom w:type="dxa" w:w="80"/>
              <w:right w:type="dxa" w:w="100"/>
            </w:tcMar>
            <w:vAlign w:val="center"/>
          </w:tcPr>
          <w:p>
            <w:pPr>
              <w:jc w:val="center"/>
            </w:pPr>
            <w:r>
              <w:rPr>
                <w:b w:val="false"/>
                <w:bCs w:val="false"/>
                <w:color w:val="000000"/>
              </w:rPr>
              <w:t xml:space="preserve">Completa</w:t>
            </w:r>
          </w:p>
        </w:tc>
      </w:tr>
      <w:tr>
        <w:tc>
          <w:tcPr>
            <w:tcW w:type="dxa" w:w="3350"/>
            <w:tcMar>
              <w:top w:type="dxa" w:w="80"/>
              <w:left w:type="dxa" w:w="100"/>
              <w:bottom w:type="dxa" w:w="80"/>
              <w:right w:type="dxa" w:w="100"/>
            </w:tcMar>
            <w:vAlign w:val="center"/>
          </w:tcPr>
          <w:p>
            <w:pPr>
              <w:jc w:val="left"/>
            </w:pPr>
            <w:r>
              <w:rPr>
                <w:b w:val="false"/>
                <w:bCs w:val="false"/>
                <w:color w:val="000000"/>
              </w:rPr>
              <w:t xml:space="preserve">Go</w:t>
            </w:r>
          </w:p>
        </w:tc>
        <w:tc>
          <w:tcPr>
            <w:tcW w:type="dxa" w:w="1550"/>
            <w:shd w:fill="FCE4E4" w:val="clear"/>
            <w:tcMar>
              <w:top w:type="dxa" w:w="80"/>
              <w:left w:type="dxa" w:w="100"/>
              <w:bottom w:type="dxa" w:w="80"/>
              <w:right w:type="dxa" w:w="100"/>
            </w:tcMar>
            <w:vAlign w:val="center"/>
          </w:tcPr>
          <w:p>
            <w:pPr>
              <w:jc w:val="center"/>
            </w:pPr>
            <w:r>
              <w:rPr>
                <w:b/>
                <w:bCs/>
                <w:color w:val="C00000"/>
              </w:rPr>
              <w:t xml:space="preserve">No</w:t>
            </w:r>
          </w:p>
        </w:tc>
        <w:tc>
          <w:tcPr>
            <w:tcW w:type="dxa" w:w="1900"/>
            <w:tcMar>
              <w:top w:type="dxa" w:w="80"/>
              <w:left w:type="dxa" w:w="100"/>
              <w:bottom w:type="dxa" w:w="80"/>
              <w:right w:type="dxa" w:w="100"/>
            </w:tcMar>
            <w:vAlign w:val="center"/>
          </w:tcPr>
          <w:p>
            <w:pPr>
              <w:jc w:val="center"/>
            </w:pPr>
            <w:r>
              <w:rPr>
                <w:b w:val="false"/>
                <w:bCs w:val="false"/>
                <w:color w:val="000000"/>
              </w:rPr>
              <w:t xml:space="preserve">No disponible — en backlog de la Guild de Ingeniería</w:t>
            </w:r>
          </w:p>
        </w:tc>
        <w:tc>
          <w:tcPr>
            <w:tcW w:type="dxa" w:w="2200"/>
            <w:tcMar>
              <w:top w:type="dxa" w:w="80"/>
              <w:left w:type="dxa" w:w="100"/>
              <w:bottom w:type="dxa" w:w="80"/>
              <w:right w:type="dxa" w:w="100"/>
            </w:tcMar>
            <w:vAlign w:val="center"/>
          </w:tcPr>
          <w:p>
            <w:pPr>
              <w:jc w:val="center"/>
            </w:pPr>
            <w:r>
              <w:rPr>
                <w:b w:val="false"/>
                <w:bCs w:val="false"/>
                <w:color w:val="000000"/>
              </w:rPr>
              <w:t xml:space="preserve">N/A</w:t>
            </w:r>
          </w:p>
        </w:tc>
      </w:tr>
    </w:tbl>
    <w:p>
      <w:pPr>
        <w:spacing w:after="200" w:line="276"/>
      </w:pPr>
      <w:r>
        <w:t xml:space="preserve">El stack Go, aunque no forma parte del ecosistema tecnológico objetivo formalmente adoptado, se registra en esta matriz por demanda emergente de la Guild de Ingeniería y queda priorizado en el backlog de nuevos templates conforme al procedimiento del capítulo 6.</w:t>
      </w:r>
    </w:p>
    <w:p>
      <w:pPr>
        <w:pBdr>
          <w:top w:val="single" w:color="BFBFBF" w:sz="4"/>
        </w:pBdr>
        <w:spacing w:before="400"/>
      </w:pPr>
    </w:p>
    <w:p>
      <w:pPr>
        <w:spacing w:before="200"/>
      </w:pPr>
      <w:r>
        <w:rPr>
          <w:i/>
          <w:iCs/>
          <w:color w:val="808080"/>
          <w:sz w:val="18"/>
          <w:szCs w:val="18"/>
        </w:rPr>
        <w:t xml:space="preserve">Fin del documento TMP-001 — Catálogo de Templates de Pipelines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TMP-001 · Catálogo de Templates de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2026-08-05T02:23:33.616Z</dcterms:created>
  <dcterms:modified xsi:type="dcterms:W3CDTF">2026-08-05T02:23:33.631Z</dcterms:modified>
</cp:coreProperties>
</file>

<file path=docProps/custom.xml><?xml version="1.0" encoding="utf-8"?>
<Properties xmlns="http://schemas.openxmlformats.org/officeDocument/2006/custom-properties" xmlns:vt="http://schemas.openxmlformats.org/officeDocument/2006/docPropsVTypes"/>
</file>