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E5395"/>
          <w:sz w:val="32"/>
          <w:szCs w:val="32"/>
        </w:rPr>
        <w:t xml:space="preserve">CMP-001</w:t>
      </w:r>
    </w:p>
    <w:p>
      <w:pPr>
        <w:spacing w:after="120" w:before="240"/>
        <w:jc w:val="center"/>
      </w:pPr>
      <w:r>
        <w:rPr>
          <w:b/>
          <w:bCs/>
          <w:color w:val="1F3864"/>
          <w:sz w:val="52"/>
          <w:szCs w:val="52"/>
        </w:rPr>
        <w:t xml:space="preserve">Modelo de Cumplimiento PCI DSS</w:t>
      </w:r>
    </w:p>
    <w:p>
      <w:pPr>
        <w:spacing w:after="500"/>
        <w:jc w:val="center"/>
      </w:pPr>
      <w:r>
        <w:rPr>
          <w:i/>
          <w:iCs/>
          <w:color w:val="595959"/>
          <w:sz w:val="24"/>
          <w:szCs w:val="24"/>
        </w:rPr>
        <w:t xml:space="preserve">Alcance del CDE, mapeo de requisitos al pipeline, segmentación de red y muestreo automatizado de evidencia</w:t>
      </w:r>
    </w:p>
    <w:p>
      <w:pPr>
        <w:spacing w:after="80" w:before="300"/>
        <w:jc w:val="center"/>
      </w:pPr>
      <w:r>
        <w:rPr>
          <w:color w:val="595959"/>
          <w:sz w:val="22"/>
          <w:szCs w:val="22"/>
        </w:rPr>
        <w:t xml:space="preserve">Versión 1.2.0  ·  Agosto 2026</w:t>
      </w:r>
    </w:p>
    <w:p>
      <w:pPr>
        <w:spacing w:after="40"/>
        <w:jc w:val="center"/>
      </w:pPr>
      <w:r>
        <w:rPr>
          <w:b/>
          <w:bCs/>
          <w:color w:val="C00000"/>
          <w:sz w:val="22"/>
          <w:szCs w:val="22"/>
        </w:rPr>
        <w:t xml:space="preserve">Clasificación: Confidencial Interno</w:t>
      </w:r>
    </w:p>
    <w:p>
      <w:pPr>
        <w:spacing w:after="300"/>
        <w:jc w:val="center"/>
      </w:pPr>
      <w:r>
        <w:rPr>
          <w:color w:val="808080"/>
          <w:sz w:val="18"/>
          <w:szCs w:val="18"/>
        </w:rPr>
        <w:t xml:space="preserve">Fase 3 del Roadmap — Cumplimiento Continuo  ·  Dominio: Cumplimiento</w:t>
      </w:r>
    </w:p>
    <w:p>
      <w:pPr>
        <w:pStyle w:val="Heading1"/>
        <w:pageBreakBefore/>
        <w:spacing w:after="200"/>
      </w:pPr>
      <w:r>
        <w:rPr>
          <w:b/>
          <w:bCs/>
        </w:rPr>
        <w:t xml:space="preserve">Ficha del Documento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67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650"/>
            <w:shd w:fill="F2F2F2" w:val="clear"/>
            <w:tcMar>
              <w:top w:type="dxa" w:w="80"/>
              <w:left w:type="dxa" w:w="100"/>
              <w:bottom w:type="dxa" w:w="80"/>
              <w:right w:type="dxa" w:w="100"/>
            </w:tcMar>
            <w:vAlign w:val="center"/>
          </w:tcPr>
          <w:p>
            <w:pPr>
              <w:jc w:val="left"/>
            </w:pPr>
            <w:r>
              <w:rPr>
                <w:b/>
                <w:bCs/>
                <w:color w:val="000000"/>
              </w:rPr>
              <w:t xml:space="preserve">Código Documental</w:t>
            </w:r>
          </w:p>
        </w:tc>
        <w:tc>
          <w:tcPr>
            <w:tcW w:type="dxa" w:w="6700"/>
            <w:tcMar>
              <w:top w:type="dxa" w:w="80"/>
              <w:left w:type="dxa" w:w="100"/>
              <w:bottom w:type="dxa" w:w="80"/>
              <w:right w:type="dxa" w:w="100"/>
            </w:tcMar>
            <w:vAlign w:val="center"/>
          </w:tcPr>
          <w:p>
            <w:pPr>
              <w:jc w:val="left"/>
            </w:pPr>
            <w:r>
              <w:rPr>
                <w:b w:val="false"/>
                <w:bCs w:val="false"/>
                <w:color w:val="000000"/>
              </w:rPr>
              <w:t xml:space="preserve">CMP-001</w:t>
            </w:r>
          </w:p>
        </w:tc>
      </w:tr>
      <w:tr>
        <w:tc>
          <w:tcPr>
            <w:tcW w:type="dxa" w:w="2650"/>
            <w:shd w:fill="F2F2F2" w:val="clear"/>
            <w:tcMar>
              <w:top w:type="dxa" w:w="80"/>
              <w:left w:type="dxa" w:w="100"/>
              <w:bottom w:type="dxa" w:w="80"/>
              <w:right w:type="dxa" w:w="100"/>
            </w:tcMar>
            <w:vAlign w:val="center"/>
          </w:tcPr>
          <w:p>
            <w:pPr>
              <w:jc w:val="left"/>
            </w:pPr>
            <w:r>
              <w:rPr>
                <w:b/>
                <w:bCs/>
                <w:color w:val="000000"/>
              </w:rPr>
              <w:t xml:space="preserve">Título</w:t>
            </w:r>
          </w:p>
        </w:tc>
        <w:tc>
          <w:tcPr>
            <w:tcW w:type="dxa" w:w="6700"/>
            <w:tcMar>
              <w:top w:type="dxa" w:w="80"/>
              <w:left w:type="dxa" w:w="100"/>
              <w:bottom w:type="dxa" w:w="80"/>
              <w:right w:type="dxa" w:w="100"/>
            </w:tcMar>
            <w:vAlign w:val="center"/>
          </w:tcPr>
          <w:p>
            <w:pPr>
              <w:jc w:val="left"/>
            </w:pPr>
            <w:r>
              <w:rPr>
                <w:b w:val="false"/>
                <w:bCs w:val="false"/>
                <w:color w:val="000000"/>
              </w:rPr>
              <w:t xml:space="preserve">Modelo de Cumplimiento PCI DSS</w:t>
            </w:r>
          </w:p>
        </w:tc>
      </w:tr>
      <w:tr>
        <w:tc>
          <w:tcPr>
            <w:tcW w:type="dxa" w:w="2650"/>
            <w:shd w:fill="F2F2F2" w:val="clear"/>
            <w:tcMar>
              <w:top w:type="dxa" w:w="80"/>
              <w:left w:type="dxa" w:w="100"/>
              <w:bottom w:type="dxa" w:w="80"/>
              <w:right w:type="dxa" w:w="100"/>
            </w:tcMar>
            <w:vAlign w:val="center"/>
          </w:tcPr>
          <w:p>
            <w:pPr>
              <w:jc w:val="left"/>
            </w:pPr>
            <w:r>
              <w:rPr>
                <w:b/>
                <w:bCs/>
                <w:color w:val="000000"/>
              </w:rPr>
              <w:t xml:space="preserve">Propietario / Autor</w:t>
            </w:r>
          </w:p>
        </w:tc>
        <w:tc>
          <w:tcPr>
            <w:tcW w:type="dxa" w:w="6700"/>
            <w:tcMar>
              <w:top w:type="dxa" w:w="80"/>
              <w:left w:type="dxa" w:w="100"/>
              <w:bottom w:type="dxa" w:w="80"/>
              <w:right w:type="dxa" w:w="100"/>
            </w:tcMar>
            <w:vAlign w:val="center"/>
          </w:tcPr>
          <w:p>
            <w:pPr>
              <w:jc w:val="left"/>
            </w:pPr>
            <w:r>
              <w:rPr>
                <w:b w:val="false"/>
                <w:bCs w:val="false"/>
                <w:color w:val="000000"/>
              </w:rPr>
              <w:t xml:space="preserve">Equipo DevSecOps</w:t>
            </w:r>
          </w:p>
        </w:tc>
      </w:tr>
      <w:tr>
        <w:tc>
          <w:tcPr>
            <w:tcW w:type="dxa" w:w="2650"/>
            <w:shd w:fill="F2F2F2" w:val="clear"/>
            <w:tcMar>
              <w:top w:type="dxa" w:w="80"/>
              <w:left w:type="dxa" w:w="100"/>
              <w:bottom w:type="dxa" w:w="80"/>
              <w:right w:type="dxa" w:w="100"/>
            </w:tcMar>
            <w:vAlign w:val="center"/>
          </w:tcPr>
          <w:p>
            <w:pPr>
              <w:jc w:val="left"/>
            </w:pPr>
            <w:r>
              <w:rPr>
                <w:b/>
                <w:bCs/>
                <w:color w:val="000000"/>
              </w:rPr>
              <w:t xml:space="preserve">Aprobador Ejecutivo</w:t>
            </w:r>
          </w:p>
        </w:tc>
        <w:tc>
          <w:tcPr>
            <w:tcW w:type="dxa" w:w="6700"/>
            <w:tcMar>
              <w:top w:type="dxa" w:w="80"/>
              <w:left w:type="dxa" w:w="100"/>
              <w:bottom w:type="dxa" w:w="80"/>
              <w:right w:type="dxa" w:w="100"/>
            </w:tcMar>
            <w:vAlign w:val="center"/>
          </w:tcPr>
          <w:p>
            <w:pPr>
              <w:jc w:val="left"/>
            </w:pPr>
            <w:r>
              <w:rPr>
                <w:b w:val="false"/>
                <w:bCs w:val="false"/>
                <w:color w:val="000000"/>
              </w:rPr>
              <w:t xml:space="preserve">Comité de Gobierno DevSecOps / CISO</w:t>
            </w:r>
          </w:p>
        </w:tc>
      </w:tr>
      <w:tr>
        <w:tc>
          <w:tcPr>
            <w:tcW w:type="dxa" w:w="26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6700"/>
            <w:tcMar>
              <w:top w:type="dxa" w:w="80"/>
              <w:left w:type="dxa" w:w="100"/>
              <w:bottom w:type="dxa" w:w="80"/>
              <w:right w:type="dxa" w:w="100"/>
            </w:tcMar>
            <w:vAlign w:val="center"/>
          </w:tcPr>
          <w:p>
            <w:pPr>
              <w:jc w:val="left"/>
            </w:pPr>
            <w:r>
              <w:rPr>
                <w:b w:val="false"/>
                <w:bCs w:val="false"/>
                <w:color w:val="000000"/>
              </w:rPr>
              <w:t xml:space="preserve">Confidencial Interno</w:t>
            </w:r>
          </w:p>
        </w:tc>
      </w:tr>
      <w:tr>
        <w:tc>
          <w:tcPr>
            <w:tcW w:type="dxa" w:w="2650"/>
            <w:shd w:fill="F2F2F2" w:val="clear"/>
            <w:tcMar>
              <w:top w:type="dxa" w:w="80"/>
              <w:left w:type="dxa" w:w="100"/>
              <w:bottom w:type="dxa" w:w="80"/>
              <w:right w:type="dxa" w:w="100"/>
            </w:tcMar>
            <w:vAlign w:val="center"/>
          </w:tcPr>
          <w:p>
            <w:pPr>
              <w:jc w:val="left"/>
            </w:pPr>
            <w:r>
              <w:rPr>
                <w:b/>
                <w:bCs/>
                <w:color w:val="000000"/>
              </w:rPr>
              <w:t xml:space="preserve">Fase del Roadmap</w:t>
            </w:r>
          </w:p>
        </w:tc>
        <w:tc>
          <w:tcPr>
            <w:tcW w:type="dxa" w:w="6700"/>
            <w:tcMar>
              <w:top w:type="dxa" w:w="80"/>
              <w:left w:type="dxa" w:w="100"/>
              <w:bottom w:type="dxa" w:w="80"/>
              <w:right w:type="dxa" w:w="100"/>
            </w:tcMar>
            <w:vAlign w:val="center"/>
          </w:tcPr>
          <w:p>
            <w:pPr>
              <w:jc w:val="left"/>
            </w:pPr>
            <w:r>
              <w:rPr>
                <w:b w:val="false"/>
                <w:bCs w:val="false"/>
                <w:color w:val="000000"/>
              </w:rPr>
              <w:t xml:space="preserve">Fase 3 — Cumplimiento Continuo</w:t>
            </w:r>
          </w:p>
        </w:tc>
      </w:tr>
      <w:tr>
        <w:tc>
          <w:tcPr>
            <w:tcW w:type="dxa" w:w="2650"/>
            <w:shd w:fill="F2F2F2" w:val="clear"/>
            <w:tcMar>
              <w:top w:type="dxa" w:w="80"/>
              <w:left w:type="dxa" w:w="100"/>
              <w:bottom w:type="dxa" w:w="80"/>
              <w:right w:type="dxa" w:w="100"/>
            </w:tcMar>
            <w:vAlign w:val="center"/>
          </w:tcPr>
          <w:p>
            <w:pPr>
              <w:jc w:val="left"/>
            </w:pPr>
            <w:r>
              <w:rPr>
                <w:b/>
                <w:bCs/>
                <w:color w:val="000000"/>
              </w:rPr>
              <w:t xml:space="preserve">Dominio</w:t>
            </w:r>
          </w:p>
        </w:tc>
        <w:tc>
          <w:tcPr>
            <w:tcW w:type="dxa" w:w="6700"/>
            <w:tcMar>
              <w:top w:type="dxa" w:w="80"/>
              <w:left w:type="dxa" w:w="100"/>
              <w:bottom w:type="dxa" w:w="80"/>
              <w:right w:type="dxa" w:w="100"/>
            </w:tcMar>
            <w:vAlign w:val="center"/>
          </w:tcPr>
          <w:p>
            <w:pPr>
              <w:jc w:val="left"/>
            </w:pPr>
            <w:r>
              <w:rPr>
                <w:b w:val="false"/>
                <w:bCs w:val="false"/>
                <w:color w:val="000000"/>
              </w:rPr>
              <w:t xml:space="preserve">Cumplimiento</w:t>
            </w:r>
          </w:p>
        </w:tc>
      </w:tr>
      <w:tr>
        <w:tc>
          <w:tcPr>
            <w:tcW w:type="dxa" w:w="2650"/>
            <w:shd w:fill="F2F2F2" w:val="clear"/>
            <w:tcMar>
              <w:top w:type="dxa" w:w="80"/>
              <w:left w:type="dxa" w:w="100"/>
              <w:bottom w:type="dxa" w:w="80"/>
              <w:right w:type="dxa" w:w="100"/>
            </w:tcMar>
            <w:vAlign w:val="center"/>
          </w:tcPr>
          <w:p>
            <w:pPr>
              <w:jc w:val="left"/>
            </w:pPr>
            <w:r>
              <w:rPr>
                <w:b/>
                <w:bCs/>
                <w:color w:val="000000"/>
              </w:rPr>
              <w:t xml:space="preserve">Documentos Relacionados</w:t>
            </w:r>
          </w:p>
        </w:tc>
        <w:tc>
          <w:tcPr>
            <w:tcW w:type="dxa" w:w="6700"/>
            <w:tcMar>
              <w:top w:type="dxa" w:w="80"/>
              <w:left w:type="dxa" w:w="100"/>
              <w:bottom w:type="dxa" w:w="80"/>
              <w:right w:type="dxa" w:w="100"/>
            </w:tcMar>
            <w:vAlign w:val="center"/>
          </w:tcPr>
          <w:p>
            <w:pPr>
              <w:jc w:val="left"/>
            </w:pPr>
            <w:r>
              <w:rPr>
                <w:b w:val="false"/>
                <w:bCs w:val="false"/>
                <w:color w:val="000000"/>
              </w:rPr>
              <w:t xml:space="preserve">SEC-001, SEC-002, IAM-001, ARC-002, OPS-001, ART-001, GOB-001.</w:t>
            </w:r>
          </w:p>
        </w:tc>
      </w:tr>
    </w:tbl>
    <w:p>
      <w:pPr>
        <w:pStyle w:val="Heading1"/>
        <w:spacing w:after="200" w:before="400"/>
      </w:pPr>
      <w:r>
        <w:rPr>
          <w:b/>
          <w:bCs/>
        </w:rPr>
        <w:t xml:space="preserve">Historial de Revisiones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450"/>
        <w:gridCol w:w="4000"/>
      </w:tblGrid>
      <w:tr>
        <w:trPr>
          <w:tblHeader/>
        </w:trPr>
        <w:tc>
          <w:tcPr>
            <w:tcW w:type="dxa" w:w="15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450"/>
            <w:shd w:fill="1F3864" w:val="clear"/>
            <w:tcMar>
              <w:top w:type="dxa" w:w="80"/>
              <w:left w:type="dxa" w:w="100"/>
              <w:bottom w:type="dxa" w:w="80"/>
              <w:right w:type="dxa" w:w="100"/>
            </w:tcMar>
            <w:vAlign w:val="center"/>
          </w:tcPr>
          <w:p>
            <w:pPr>
              <w:jc w:val="left"/>
            </w:pPr>
            <w:r>
              <w:rPr>
                <w:b/>
                <w:bCs/>
                <w:color w:val="FFFFFF"/>
              </w:rPr>
              <w:t xml:space="preserve">Autor</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500"/>
            <w:tcMar>
              <w:top w:type="dxa" w:w="80"/>
              <w:left w:type="dxa" w:w="100"/>
              <w:bottom w:type="dxa" w:w="80"/>
              <w:right w:type="dxa" w:w="100"/>
            </w:tcMar>
            <w:vAlign w:val="center"/>
          </w:tcPr>
          <w:p>
            <w:pPr>
              <w:jc w:val="left"/>
            </w:pPr>
            <w:r>
              <w:rPr>
                <w:b w:val="false"/>
                <w:bCs w:val="false"/>
                <w:color w:val="000000"/>
              </w:rPr>
              <w:t xml:space="preserve">v1.0.0</w:t>
            </w:r>
          </w:p>
        </w:tc>
        <w:tc>
          <w:tcPr>
            <w:tcW w:type="dxa" w:w="1400"/>
            <w:tcMar>
              <w:top w:type="dxa" w:w="80"/>
              <w:left w:type="dxa" w:w="100"/>
              <w:bottom w:type="dxa" w:w="80"/>
              <w:right w:type="dxa" w:w="100"/>
            </w:tcMar>
            <w:vAlign w:val="center"/>
          </w:tcPr>
          <w:p>
            <w:pPr>
              <w:jc w:val="left"/>
            </w:pPr>
            <w:r>
              <w:rPr>
                <w:b w:val="false"/>
                <w:bCs w:val="false"/>
                <w:color w:val="000000"/>
              </w:rPr>
              <w:t xml:space="preserve">2026-08-03</w:t>
            </w:r>
          </w:p>
        </w:tc>
        <w:tc>
          <w:tcPr>
            <w:tcW w:type="dxa" w:w="2450"/>
            <w:tcMar>
              <w:top w:type="dxa" w:w="80"/>
              <w:left w:type="dxa" w:w="100"/>
              <w:bottom w:type="dxa" w:w="80"/>
              <w:right w:type="dxa" w:w="100"/>
            </w:tcMar>
            <w:vAlign w:val="center"/>
          </w:tcPr>
          <w:p>
            <w:pPr>
              <w:jc w:val="left"/>
            </w:pPr>
            <w:r>
              <w:rPr>
                <w:b w:val="false"/>
                <w:bCs w:val="false"/>
                <w:color w:val="000000"/>
              </w:rPr>
              <w:t xml:space="preserve">Equipo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Creación de la estructura base y plantilla estándar.</w:t>
            </w:r>
          </w:p>
        </w:tc>
      </w:tr>
      <w:tr>
        <w:tc>
          <w:tcPr>
            <w:tcW w:type="dxa" w:w="1500"/>
            <w:tcMar>
              <w:top w:type="dxa" w:w="80"/>
              <w:left w:type="dxa" w:w="100"/>
              <w:bottom w:type="dxa" w:w="80"/>
              <w:right w:type="dxa" w:w="100"/>
            </w:tcMar>
            <w:vAlign w:val="center"/>
          </w:tcPr>
          <w:p>
            <w:pPr>
              <w:jc w:val="left"/>
            </w:pPr>
            <w:r>
              <w:rPr>
                <w:b w:val="false"/>
                <w:bCs w:val="false"/>
                <w:color w:val="000000"/>
              </w:rPr>
              <w:t xml:space="preserve">v1.1.0</w:t>
            </w:r>
          </w:p>
        </w:tc>
        <w:tc>
          <w:tcPr>
            <w:tcW w:type="dxa" w:w="1400"/>
            <w:tcMar>
              <w:top w:type="dxa" w:w="80"/>
              <w:left w:type="dxa" w:w="100"/>
              <w:bottom w:type="dxa" w:w="80"/>
              <w:right w:type="dxa" w:w="100"/>
            </w:tcMar>
            <w:vAlign w:val="center"/>
          </w:tcPr>
          <w:p>
            <w:pPr>
              <w:jc w:val="left"/>
            </w:pPr>
            <w:r>
              <w:rPr>
                <w:b w:val="false"/>
                <w:bCs w:val="false"/>
                <w:color w:val="000000"/>
              </w:rPr>
              <w:t xml:space="preserve">2026-08-08</w:t>
            </w:r>
          </w:p>
        </w:tc>
        <w:tc>
          <w:tcPr>
            <w:tcW w:type="dxa" w:w="2450"/>
            <w:tcMar>
              <w:top w:type="dxa" w:w="80"/>
              <w:left w:type="dxa" w:w="100"/>
              <w:bottom w:type="dxa" w:w="80"/>
              <w:right w:type="dxa" w:w="100"/>
            </w:tcMar>
            <w:vAlign w:val="center"/>
          </w:tcPr>
          <w:p>
            <w:pPr>
              <w:jc w:val="left"/>
            </w:pPr>
            <w:r>
              <w:rPr>
                <w:b w:val="false"/>
                <w:bCs w:val="false"/>
                <w:color w:val="000000"/>
              </w:rPr>
              <w:t xml:space="preserve">Equipo DevSecOps + Oficial de Cumplimiento (PCI)</w:t>
            </w:r>
          </w:p>
        </w:tc>
        <w:tc>
          <w:tcPr>
            <w:tcW w:type="dxa" w:w="4000"/>
            <w:tcMar>
              <w:top w:type="dxa" w:w="80"/>
              <w:left w:type="dxa" w:w="100"/>
              <w:bottom w:type="dxa" w:w="80"/>
              <w:right w:type="dxa" w:w="100"/>
            </w:tcMar>
            <w:vAlign w:val="center"/>
          </w:tcPr>
          <w:p>
            <w:pPr>
              <w:jc w:val="left"/>
            </w:pPr>
            <w:r>
              <w:rPr>
                <w:b w:val="false"/>
                <w:bCs w:val="false"/>
                <w:color w:val="000000"/>
              </w:rPr>
              <w:t xml:space="preserve">Desarrollo del contenido técnico completo: alcance del CDE, mapeo de requisitos, segregación de red y muestreo automatizado para QSA.</w:t>
            </w:r>
          </w:p>
        </w:tc>
      </w:tr>
      <w:tr>
        <w:tc>
          <w:tcPr>
            <w:tcW w:type="dxa" w:w="1500"/>
            <w:tcMar>
              <w:top w:type="dxa" w:w="80"/>
              <w:left w:type="dxa" w:w="100"/>
              <w:bottom w:type="dxa" w:w="80"/>
              <w:right w:type="dxa" w:w="100"/>
            </w:tcMar>
            <w:vAlign w:val="center"/>
          </w:tcPr>
          <w:p>
            <w:pPr>
              <w:jc w:val="left"/>
            </w:pPr>
            <w:r>
              <w:rPr>
                <w:b w:val="false"/>
                <w:bCs w:val="false"/>
                <w:color w:val="000000"/>
              </w:rPr>
              <w:t xml:space="preserve">v1.2.0</w:t>
            </w:r>
          </w:p>
        </w:tc>
        <w:tc>
          <w:tcPr>
            <w:tcW w:type="dxa" w:w="1400"/>
            <w:tcMar>
              <w:top w:type="dxa" w:w="80"/>
              <w:left w:type="dxa" w:w="100"/>
              <w:bottom w:type="dxa" w:w="80"/>
              <w:right w:type="dxa" w:w="100"/>
            </w:tcMar>
            <w:vAlign w:val="center"/>
          </w:tcPr>
          <w:p>
            <w:pPr>
              <w:jc w:val="left"/>
            </w:pPr>
            <w:r>
              <w:rPr>
                <w:b w:val="false"/>
                <w:bCs w:val="false"/>
                <w:color w:val="000000"/>
              </w:rPr>
              <w:t xml:space="preserve">2026-08-10</w:t>
            </w:r>
          </w:p>
        </w:tc>
        <w:tc>
          <w:tcPr>
            <w:tcW w:type="dxa" w:w="2450"/>
            <w:tcMar>
              <w:top w:type="dxa" w:w="80"/>
              <w:left w:type="dxa" w:w="100"/>
              <w:bottom w:type="dxa" w:w="80"/>
              <w:right w:type="dxa" w:w="100"/>
            </w:tcMar>
            <w:vAlign w:val="center"/>
          </w:tcPr>
          <w:p>
            <w:pPr>
              <w:jc w:val="left"/>
            </w:pPr>
            <w:r>
              <w:rPr>
                <w:b w:val="false"/>
                <w:bCs w:val="false"/>
                <w:color w:val="000000"/>
              </w:rPr>
              <w:t xml:space="preserve">Comité de Gobierno DevSecOps / CISO</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corporativo de cumplimiento.</w:t>
            </w:r>
          </w:p>
        </w:tc>
      </w:tr>
    </w:tbl>
    <w:p>
      <w:pPr>
        <w:pStyle w:val="Heading1"/>
        <w:pageBreakBefore/>
        <w:spacing w:after="240" w:before="480"/>
      </w:pPr>
      <w:r>
        <w:rPr>
          <w:b/>
          <w:bCs/>
        </w:rPr>
        <w:t xml:space="preserve">1. Control del Documento y Control de Cambios</w:t>
      </w:r>
    </w:p>
    <w:p>
      <w:pPr>
        <w:spacing w:after="200" w:line="276"/>
      </w:pPr>
      <w:r>
        <w:t xml:space="preserve">Este documento define el modelo de cumplimiento PCI DSS v4.0 de la organización, mapeando los requisitos aplicables al entorno de datos de titulares de tarjetas (CDE) sobre los controles técnicos ya implementados en la cadena DevSecOps descrita en los documentos GOB-001, SEC-001, SEC-002, IAM-001, ARC-002, OPS-001 y ART-001. No introduce controles nuevos: consolida y referencia los ya existentes desde la perspectiva específica del auditor de cumplimiento (QSA).</w:t>
      </w:r>
    </w:p>
    <w:p>
      <w:pPr>
        <w:spacing w:after="200" w:line="276"/>
      </w:pPr>
      <w:r>
        <w:t xml:space="preserve">Su vigencia, distribución y modificaciones están sujetas al proceso de gestión documental de DOC-001, con una salvedad: dado que traza directamente contra un estándar regulatorio externo, todo cambio a este documento requiere adicionalmente la revisión del Oficial de Cumplimiento (PCI) antes de su fusión, conforme se refleja en la tabla de Firma y Aprobación al final de este documento.</w:t>
      </w:r>
    </w:p>
    <w:p>
      <w:pPr>
        <w:pStyle w:val="ListParagraph"/>
        <w:numPr>
          <w:ilvl w:val="0"/>
          <w:numId w:val="2"/>
        </w:numPr>
        <w:spacing w:after="120"/>
      </w:pPr>
      <w:r>
        <w:t xml:space="preserve">Frecuencia de revisión: anual, o ante la publicación de una nueva versión del estándar PCI DSS, un cambio en el alcance del CDE, o un hallazgo de la evaluación QSA anual.</w:t>
      </w:r>
    </w:p>
    <w:p>
      <w:pPr>
        <w:pStyle w:val="ListParagraph"/>
        <w:numPr>
          <w:ilvl w:val="0"/>
          <w:numId w:val="2"/>
        </w:numPr>
        <w:spacing w:after="120"/>
      </w:pPr>
      <w:r>
        <w:t xml:space="preserve">Próxima revisión programada: 2027-08-10.</w:t>
      </w:r>
    </w:p>
    <w:p>
      <w:pPr>
        <w:pStyle w:val="ListParagraph"/>
        <w:numPr>
          <w:ilvl w:val="0"/>
          <w:numId w:val="2"/>
        </w:numPr>
        <w:spacing w:after="120"/>
      </w:pPr>
      <w:r>
        <w:t xml:space="preserve">Todo hallazgo de la evaluación QSA que revele una brecha respecto a este documento se gestiona como una excepción de riesgo conforme al proceso de GOB-001, sección 5.2, con notificación obligatoria al Oficial de Cumplimiento.</w:t>
      </w:r>
    </w:p>
    <w:p>
      <w:pPr>
        <w:pStyle w:val="Heading1"/>
        <w:pageBreakBefore/>
        <w:spacing w:after="240" w:before="480"/>
      </w:pPr>
      <w:r>
        <w:rPr>
          <w:b/>
          <w:bCs/>
        </w:rPr>
        <w:t xml:space="preserve">2. Scope del CDE (Cardholder Data Environment)</w:t>
      </w:r>
    </w:p>
    <w:p>
      <w:pPr>
        <w:spacing w:after="200" w:line="276"/>
      </w:pPr>
      <w:r>
        <w:t xml:space="preserve">El Cardholder Data Environment (CDE) comprende las personas, procesos y tecnología que almacenan, procesan o transmiten datos de titulares de tarjetas (PAN), así como cualquier componente conectado a estos que pudiera impactar su seguridad. La definición precisa del alcance es la base de todo el ejercicio de cumplimiento: un alcance subestimado deja controles PCI sin aplicar; un alcance sobreestimado incrementa innecesariamente el costo de auditoría.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3700"/>
      </w:tblGrid>
      <w:tr>
        <w:trPr>
          <w:tblHeader/>
        </w:trPr>
        <w:tc>
          <w:tcPr>
            <w:tcW w:type="dxa" w:w="1750"/>
            <w:shd w:fill="1F3864" w:val="clear"/>
            <w:tcMar>
              <w:top w:type="dxa" w:w="80"/>
              <w:left w:type="dxa" w:w="100"/>
              <w:bottom w:type="dxa" w:w="80"/>
              <w:right w:type="dxa" w:w="100"/>
            </w:tcMar>
            <w:vAlign w:val="center"/>
          </w:tcPr>
          <w:p>
            <w:pPr>
              <w:jc w:val="left"/>
            </w:pPr>
            <w:r>
              <w:rPr>
                <w:b/>
                <w:bCs/>
                <w:color w:val="FFFFFF"/>
              </w:rPr>
              <w:t xml:space="preserve">Categoría</w:t>
            </w:r>
          </w:p>
        </w:tc>
        <w:tc>
          <w:tcPr>
            <w:tcW w:type="dxa" w:w="3900"/>
            <w:shd w:fill="1F3864" w:val="clear"/>
            <w:tcMar>
              <w:top w:type="dxa" w:w="80"/>
              <w:left w:type="dxa" w:w="100"/>
              <w:bottom w:type="dxa" w:w="80"/>
              <w:right w:type="dxa" w:w="100"/>
            </w:tcMar>
            <w:vAlign w:val="center"/>
          </w:tcPr>
          <w:p>
            <w:pPr>
              <w:jc w:val="left"/>
            </w:pPr>
            <w:r>
              <w:rPr>
                <w:b/>
                <w:bCs/>
                <w:color w:val="FFFFFF"/>
              </w:rPr>
              <w:t xml:space="preserve">Componentes en Alcance (CDE)</w:t>
            </w:r>
          </w:p>
        </w:tc>
        <w:tc>
          <w:tcPr>
            <w:tcW w:type="dxa" w:w="3700"/>
            <w:shd w:fill="1F3864" w:val="clear"/>
            <w:tcMar>
              <w:top w:type="dxa" w:w="80"/>
              <w:left w:type="dxa" w:w="100"/>
              <w:bottom w:type="dxa" w:w="80"/>
              <w:right w:type="dxa" w:w="100"/>
            </w:tcMar>
            <w:vAlign w:val="center"/>
          </w:tcPr>
          <w:p>
            <w:pPr>
              <w:jc w:val="left"/>
            </w:pPr>
            <w:r>
              <w:rPr>
                <w:b/>
                <w:bCs/>
                <w:color w:val="FFFFFF"/>
              </w:rPr>
              <w:t xml:space="preserve">Justificación de Alcance</w:t>
            </w:r>
          </w:p>
        </w:tc>
      </w:tr>
      <w:tr>
        <w:tc>
          <w:tcPr>
            <w:tcW w:type="dxa" w:w="1750"/>
            <w:shd w:fill="FFFFFF" w:val="clear"/>
            <w:tcMar>
              <w:top w:type="dxa" w:w="80"/>
              <w:left w:type="dxa" w:w="100"/>
              <w:bottom w:type="dxa" w:w="80"/>
              <w:right w:type="dxa" w:w="100"/>
            </w:tcMar>
            <w:vAlign w:val="center"/>
          </w:tcPr>
          <w:p>
            <w:pPr>
              <w:jc w:val="left"/>
            </w:pPr>
            <w:r>
              <w:rPr>
                <w:b w:val="false"/>
                <w:bCs w:val="false"/>
                <w:color w:val="000000"/>
              </w:rPr>
              <w:t xml:space="preserve">Aplicación</w:t>
            </w:r>
          </w:p>
        </w:tc>
        <w:tc>
          <w:tcPr>
            <w:tcW w:type="dxa" w:w="3900"/>
            <w:shd w:fill="FFFFFF" w:val="clear"/>
            <w:tcMar>
              <w:top w:type="dxa" w:w="80"/>
              <w:left w:type="dxa" w:w="100"/>
              <w:bottom w:type="dxa" w:w="80"/>
              <w:right w:type="dxa" w:w="100"/>
            </w:tcMar>
            <w:vAlign w:val="center"/>
          </w:tcPr>
          <w:p>
            <w:pPr>
              <w:jc w:val="left"/>
            </w:pPr>
            <w:r>
              <w:rPr>
                <w:b w:val="false"/>
                <w:bCs w:val="false"/>
                <w:color w:val="000000"/>
              </w:rPr>
              <w:t xml:space="preserve">pagos-api, pagos-checkout-frontend, servicio de tokenización.</w:t>
            </w:r>
          </w:p>
        </w:tc>
        <w:tc>
          <w:tcPr>
            <w:tcW w:type="dxa" w:w="3700"/>
            <w:shd w:fill="FFFFFF" w:val="clear"/>
            <w:tcMar>
              <w:top w:type="dxa" w:w="80"/>
              <w:left w:type="dxa" w:w="100"/>
              <w:bottom w:type="dxa" w:w="80"/>
              <w:right w:type="dxa" w:w="100"/>
            </w:tcMar>
            <w:vAlign w:val="center"/>
          </w:tcPr>
          <w:p>
            <w:pPr>
              <w:jc w:val="left"/>
            </w:pPr>
            <w:r>
              <w:rPr>
                <w:b w:val="false"/>
                <w:bCs w:val="false"/>
                <w:color w:val="000000"/>
              </w:rPr>
              <w:t xml:space="preserve">Procesan o transmiten datos de titulares de tarjeta (PAN) directamente.</w:t>
            </w:r>
          </w:p>
        </w:tc>
      </w:tr>
      <w:tr>
        <w:tc>
          <w:tcPr>
            <w:tcW w:type="dxa" w:w="1750"/>
            <w:shd w:fill="F2F2F2" w:val="clear"/>
            <w:tcMar>
              <w:top w:type="dxa" w:w="80"/>
              <w:left w:type="dxa" w:w="100"/>
              <w:bottom w:type="dxa" w:w="80"/>
              <w:right w:type="dxa" w:w="100"/>
            </w:tcMar>
            <w:vAlign w:val="center"/>
          </w:tcPr>
          <w:p>
            <w:pPr>
              <w:jc w:val="left"/>
            </w:pPr>
            <w:r>
              <w:rPr>
                <w:b w:val="false"/>
                <w:bCs w:val="false"/>
                <w:color w:val="000000"/>
              </w:rPr>
              <w:t xml:space="preserve">Datos</w:t>
            </w:r>
          </w:p>
        </w:tc>
        <w:tc>
          <w:tcPr>
            <w:tcW w:type="dxa" w:w="3900"/>
            <w:shd w:fill="F2F2F2" w:val="clear"/>
            <w:tcMar>
              <w:top w:type="dxa" w:w="80"/>
              <w:left w:type="dxa" w:w="100"/>
              <w:bottom w:type="dxa" w:w="80"/>
              <w:right w:type="dxa" w:w="100"/>
            </w:tcMar>
            <w:vAlign w:val="center"/>
          </w:tcPr>
          <w:p>
            <w:pPr>
              <w:jc w:val="left"/>
            </w:pPr>
            <w:r>
              <w:rPr>
                <w:b w:val="false"/>
                <w:bCs w:val="false"/>
                <w:color w:val="000000"/>
              </w:rPr>
              <w:t xml:space="preserve">Base de datos de transacciones (Aurora, ver ARC-002), cola de eventos de pagos (Kafka).</w:t>
            </w:r>
          </w:p>
        </w:tc>
        <w:tc>
          <w:tcPr>
            <w:tcW w:type="dxa" w:w="3700"/>
            <w:shd w:fill="F2F2F2" w:val="clear"/>
            <w:tcMar>
              <w:top w:type="dxa" w:w="80"/>
              <w:left w:type="dxa" w:w="100"/>
              <w:bottom w:type="dxa" w:w="80"/>
              <w:right w:type="dxa" w:w="100"/>
            </w:tcMar>
            <w:vAlign w:val="center"/>
          </w:tcPr>
          <w:p>
            <w:pPr>
              <w:jc w:val="left"/>
            </w:pPr>
            <w:r>
              <w:rPr>
                <w:b w:val="false"/>
                <w:bCs w:val="false"/>
                <w:color w:val="000000"/>
              </w:rPr>
              <w:t xml:space="preserve">Almacenan o transportan PAN tokenizado y metadatos de transacción.</w:t>
            </w:r>
          </w:p>
        </w:tc>
      </w:tr>
      <w:tr>
        <w:tc>
          <w:tcPr>
            <w:tcW w:type="dxa" w:w="1750"/>
            <w:shd w:fill="FFFFFF" w:val="clear"/>
            <w:tcMar>
              <w:top w:type="dxa" w:w="80"/>
              <w:left w:type="dxa" w:w="100"/>
              <w:bottom w:type="dxa" w:w="80"/>
              <w:right w:type="dxa" w:w="100"/>
            </w:tcMar>
            <w:vAlign w:val="center"/>
          </w:tcPr>
          <w:p>
            <w:pPr>
              <w:jc w:val="left"/>
            </w:pPr>
            <w:r>
              <w:rPr>
                <w:b w:val="false"/>
                <w:bCs w:val="false"/>
                <w:color w:val="000000"/>
              </w:rPr>
              <w:t xml:space="preserve">Infraestructura</w:t>
            </w:r>
          </w:p>
        </w:tc>
        <w:tc>
          <w:tcPr>
            <w:tcW w:type="dxa" w:w="3900"/>
            <w:shd w:fill="FFFFFF" w:val="clear"/>
            <w:tcMar>
              <w:top w:type="dxa" w:w="80"/>
              <w:left w:type="dxa" w:w="100"/>
              <w:bottom w:type="dxa" w:w="80"/>
              <w:right w:type="dxa" w:w="100"/>
            </w:tcMar>
            <w:vAlign w:val="center"/>
          </w:tcPr>
          <w:p>
            <w:pPr>
              <w:jc w:val="left"/>
            </w:pPr>
            <w:r>
              <w:rPr>
                <w:b w:val="false"/>
                <w:bCs w:val="false"/>
                <w:color w:val="000000"/>
              </w:rPr>
              <w:t xml:space="preserve">Subred aislada de pagos, clúster EKS dedicado (node pool pagos-prod), Vault de secretos de pagos.</w:t>
            </w:r>
          </w:p>
        </w:tc>
        <w:tc>
          <w:tcPr>
            <w:tcW w:type="dxa" w:w="3700"/>
            <w:shd w:fill="FFFFFF" w:val="clear"/>
            <w:tcMar>
              <w:top w:type="dxa" w:w="80"/>
              <w:left w:type="dxa" w:w="100"/>
              <w:bottom w:type="dxa" w:w="80"/>
              <w:right w:type="dxa" w:w="100"/>
            </w:tcMar>
            <w:vAlign w:val="center"/>
          </w:tcPr>
          <w:p>
            <w:pPr>
              <w:jc w:val="left"/>
            </w:pPr>
            <w:r>
              <w:rPr>
                <w:b w:val="false"/>
                <w:bCs w:val="false"/>
                <w:color w:val="000000"/>
              </w:rPr>
              <w:t xml:space="preserve">Componentes de red y cómputo que alojan o pueden acceder al CDE (ver ARC-002, sección 4.1).</w:t>
            </w:r>
          </w:p>
        </w:tc>
      </w:tr>
      <w:tr>
        <w:tc>
          <w:tcPr>
            <w:tcW w:type="dxa" w:w="1750"/>
            <w:shd w:fill="F2F2F2" w:val="clear"/>
            <w:tcMar>
              <w:top w:type="dxa" w:w="80"/>
              <w:left w:type="dxa" w:w="100"/>
              <w:bottom w:type="dxa" w:w="80"/>
              <w:right w:type="dxa" w:w="100"/>
            </w:tcMar>
            <w:vAlign w:val="center"/>
          </w:tcPr>
          <w:p>
            <w:pPr>
              <w:jc w:val="left"/>
            </w:pPr>
            <w:r>
              <w:rPr>
                <w:b w:val="false"/>
                <w:bCs w:val="false"/>
                <w:color w:val="000000"/>
              </w:rPr>
              <w:t xml:space="preserve">Conectados (Connected-to)</w:t>
            </w:r>
          </w:p>
        </w:tc>
        <w:tc>
          <w:tcPr>
            <w:tcW w:type="dxa" w:w="3900"/>
            <w:shd w:fill="F2F2F2" w:val="clear"/>
            <w:tcMar>
              <w:top w:type="dxa" w:w="80"/>
              <w:left w:type="dxa" w:w="100"/>
              <w:bottom w:type="dxa" w:w="80"/>
              <w:right w:type="dxa" w:w="100"/>
            </w:tcMar>
            <w:vAlign w:val="center"/>
          </w:tcPr>
          <w:p>
            <w:pPr>
              <w:jc w:val="left"/>
            </w:pPr>
            <w:r>
              <w:rPr>
                <w:b w:val="false"/>
                <w:bCs w:val="false"/>
                <w:color w:val="000000"/>
              </w:rPr>
              <w:t xml:space="preserve">API Gateway corporativo, servicio de notificaciones, sistema ERP (solo datos agregados no sensibles).</w:t>
            </w:r>
          </w:p>
        </w:tc>
        <w:tc>
          <w:tcPr>
            <w:tcW w:type="dxa" w:w="3700"/>
            <w:shd w:fill="F2F2F2" w:val="clear"/>
            <w:tcMar>
              <w:top w:type="dxa" w:w="80"/>
              <w:left w:type="dxa" w:w="100"/>
              <w:bottom w:type="dxa" w:w="80"/>
              <w:right w:type="dxa" w:w="100"/>
            </w:tcMar>
            <w:vAlign w:val="center"/>
          </w:tcPr>
          <w:p>
            <w:pPr>
              <w:jc w:val="left"/>
            </w:pPr>
            <w:r>
              <w:rPr>
                <w:b w:val="false"/>
                <w:bCs w:val="false"/>
                <w:color w:val="000000"/>
              </w:rPr>
              <w:t xml:space="preserve">No almacenan PAN, pero se conectan a sistemas del CDE; están en alcance de segmentación aunque no de almacenamiento.</w:t>
            </w:r>
          </w:p>
        </w:tc>
      </w:tr>
      <w:tr>
        <w:tc>
          <w:tcPr>
            <w:tcW w:type="dxa" w:w="1750"/>
            <w:shd w:fill="FFFFFF" w:val="clear"/>
            <w:tcMar>
              <w:top w:type="dxa" w:w="80"/>
              <w:left w:type="dxa" w:w="100"/>
              <w:bottom w:type="dxa" w:w="80"/>
              <w:right w:type="dxa" w:w="100"/>
            </w:tcMar>
            <w:vAlign w:val="center"/>
          </w:tcPr>
          <w:p>
            <w:pPr>
              <w:jc w:val="left"/>
            </w:pPr>
            <w:r>
              <w:rPr>
                <w:b w:val="false"/>
                <w:bCs w:val="false"/>
                <w:color w:val="000000"/>
              </w:rPr>
              <w:t xml:space="preserve">Fuera de alcance</w:t>
            </w:r>
          </w:p>
        </w:tc>
        <w:tc>
          <w:tcPr>
            <w:tcW w:type="dxa" w:w="3900"/>
            <w:shd w:fill="FFFFFF" w:val="clear"/>
            <w:tcMar>
              <w:top w:type="dxa" w:w="80"/>
              <w:left w:type="dxa" w:w="100"/>
              <w:bottom w:type="dxa" w:w="80"/>
              <w:right w:type="dxa" w:w="100"/>
            </w:tcMar>
            <w:vAlign w:val="center"/>
          </w:tcPr>
          <w:p>
            <w:pPr>
              <w:jc w:val="left"/>
            </w:pPr>
            <w:r>
              <w:rPr>
                <w:b w:val="false"/>
                <w:bCs w:val="false"/>
                <w:color w:val="000000"/>
              </w:rPr>
              <w:t xml:space="preserve">Catálogo de productos, CMS de marketing, herramientas administrativas internas sin acceso a pagos.</w:t>
            </w:r>
          </w:p>
        </w:tc>
        <w:tc>
          <w:tcPr>
            <w:tcW w:type="dxa" w:w="3700"/>
            <w:shd w:fill="FFFFFF" w:val="clear"/>
            <w:tcMar>
              <w:top w:type="dxa" w:w="80"/>
              <w:left w:type="dxa" w:w="100"/>
              <w:bottom w:type="dxa" w:w="80"/>
              <w:right w:type="dxa" w:w="100"/>
            </w:tcMar>
            <w:vAlign w:val="center"/>
          </w:tcPr>
          <w:p>
            <w:pPr>
              <w:jc w:val="left"/>
            </w:pPr>
            <w:r>
              <w:rPr>
                <w:b w:val="false"/>
                <w:bCs w:val="false"/>
                <w:color w:val="000000"/>
              </w:rPr>
              <w:t xml:space="preserve">Sin conectividad de red al CDE, verificado mediante la segmentación del capítulo 4.</w:t>
            </w:r>
          </w:p>
        </w:tc>
      </w:tr>
    </w:tbl>
    <w:p>
      <w:pPr>
        <w:spacing w:after="200" w:line="276"/>
      </w:pPr>
      <w:r>
        <w:t xml:space="preserve">El alcance del CDE se revisa formalmente antes de cada ciclo de evaluación QSA y ante cualquier cambio arquitectónico que introduzca un nuevo componente con acceso a PAN, siguiendo el mismo proceso de ADR de DOC-001, sección 3.2, con el Oficial de Cumplimiento como revisor obligatorio.</w:t>
      </w:r>
    </w:p>
    <w:p>
      <w:pPr>
        <w:pStyle w:val="Heading1"/>
        <w:pageBreakBefore/>
        <w:spacing w:after="240" w:before="480"/>
      </w:pPr>
      <w:r>
        <w:rPr>
          <w:b/>
          <w:bCs/>
        </w:rPr>
        <w:t xml:space="preserve">3. Mapeo PCI DSS v4.0 vs Pipeline (Req 6.2, 6.3, 6.4, 6.5, 7, 8, 10)</w:t>
      </w:r>
    </w:p>
    <w:p>
      <w:pPr>
        <w:spacing w:after="200" w:line="276"/>
      </w:pPr>
      <w:r>
        <w:t xml:space="preserve">La siguiente tabla traza cada requisito PCI DSS v4.0 aplicable al ciclo de vida de desarrollo y operación hacia el control técnico específico que lo satisface dentro de la cadena DevSecOps, evitando la creación de controles paralelos o redundantes exclusivos de cumplimiento.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050"/>
        <w:gridCol w:w="3350"/>
        <w:gridCol w:w="1400"/>
      </w:tblGrid>
      <w:tr>
        <w:trPr>
          <w:tblHeader/>
        </w:trPr>
        <w:tc>
          <w:tcPr>
            <w:tcW w:type="dxa" w:w="1550"/>
            <w:shd w:fill="1F3864" w:val="clear"/>
            <w:tcMar>
              <w:top w:type="dxa" w:w="80"/>
              <w:left w:type="dxa" w:w="100"/>
              <w:bottom w:type="dxa" w:w="80"/>
              <w:right w:type="dxa" w:w="100"/>
            </w:tcMar>
            <w:vAlign w:val="center"/>
          </w:tcPr>
          <w:p>
            <w:pPr>
              <w:jc w:val="left"/>
            </w:pPr>
            <w:r>
              <w:rPr>
                <w:b/>
                <w:bCs/>
                <w:color w:val="FFFFFF"/>
              </w:rPr>
              <w:t xml:space="preserve">Requisito PCI DSS v4.0</w:t>
            </w:r>
          </w:p>
        </w:tc>
        <w:tc>
          <w:tcPr>
            <w:tcW w:type="dxa" w:w="3050"/>
            <w:shd w:fill="1F3864" w:val="clear"/>
            <w:tcMar>
              <w:top w:type="dxa" w:w="80"/>
              <w:left w:type="dxa" w:w="100"/>
              <w:bottom w:type="dxa" w:w="80"/>
              <w:right w:type="dxa" w:w="100"/>
            </w:tcMar>
            <w:vAlign w:val="center"/>
          </w:tcPr>
          <w:p>
            <w:pPr>
              <w:jc w:val="left"/>
            </w:pPr>
            <w:r>
              <w:rPr>
                <w:b/>
                <w:bCs/>
                <w:color w:val="FFFFFF"/>
              </w:rPr>
              <w:t xml:space="preserve">Descripción</w:t>
            </w:r>
          </w:p>
        </w:tc>
        <w:tc>
          <w:tcPr>
            <w:tcW w:type="dxa" w:w="3350"/>
            <w:shd w:fill="1F3864" w:val="clear"/>
            <w:tcMar>
              <w:top w:type="dxa" w:w="80"/>
              <w:left w:type="dxa" w:w="100"/>
              <w:bottom w:type="dxa" w:w="80"/>
              <w:right w:type="dxa" w:w="100"/>
            </w:tcMar>
            <w:vAlign w:val="center"/>
          </w:tcPr>
          <w:p>
            <w:pPr>
              <w:jc w:val="left"/>
            </w:pPr>
            <w:r>
              <w:rPr>
                <w:b/>
                <w:bCs/>
                <w:color w:val="FFFFFF"/>
              </w:rPr>
              <w:t xml:space="preserve">Control Implementado</w:t>
            </w:r>
          </w:p>
        </w:tc>
        <w:tc>
          <w:tcPr>
            <w:tcW w:type="dxa" w:w="1400"/>
            <w:shd w:fill="1F3864" w:val="clear"/>
            <w:tcMar>
              <w:top w:type="dxa" w:w="80"/>
              <w:left w:type="dxa" w:w="100"/>
              <w:bottom w:type="dxa" w:w="80"/>
              <w:right w:type="dxa" w:w="100"/>
            </w:tcMar>
            <w:vAlign w:val="center"/>
          </w:tcPr>
          <w:p>
            <w:pPr>
              <w:jc w:val="left"/>
            </w:pPr>
            <w:r>
              <w:rPr>
                <w:b/>
                <w:bCs/>
                <w:color w:val="FFFFFF"/>
              </w:rPr>
              <w:t xml:space="preserve">Referencia</w:t>
            </w:r>
          </w:p>
        </w:tc>
      </w:tr>
      <w:tr>
        <w:tc>
          <w:tcPr>
            <w:tcW w:type="dxa" w:w="1550"/>
            <w:shd w:fill="FFFFFF" w:val="clear"/>
            <w:tcMar>
              <w:top w:type="dxa" w:w="80"/>
              <w:left w:type="dxa" w:w="100"/>
              <w:bottom w:type="dxa" w:w="80"/>
              <w:right w:type="dxa" w:w="100"/>
            </w:tcMar>
            <w:vAlign w:val="center"/>
          </w:tcPr>
          <w:p>
            <w:pPr>
              <w:jc w:val="left"/>
            </w:pPr>
            <w:r>
              <w:rPr>
                <w:b w:val="false"/>
                <w:bCs w:val="false"/>
                <w:color w:val="000000"/>
              </w:rPr>
              <w:t xml:space="preserve">6.2</w:t>
            </w:r>
          </w:p>
        </w:tc>
        <w:tc>
          <w:tcPr>
            <w:tcW w:type="dxa" w:w="3050"/>
            <w:shd w:fill="FFFFFF" w:val="clear"/>
            <w:tcMar>
              <w:top w:type="dxa" w:w="80"/>
              <w:left w:type="dxa" w:w="100"/>
              <w:bottom w:type="dxa" w:w="80"/>
              <w:right w:type="dxa" w:w="100"/>
            </w:tcMar>
            <w:vAlign w:val="center"/>
          </w:tcPr>
          <w:p>
            <w:pPr>
              <w:jc w:val="left"/>
            </w:pPr>
            <w:r>
              <w:rPr>
                <w:b w:val="false"/>
                <w:bCs w:val="false"/>
                <w:color w:val="000000"/>
              </w:rPr>
              <w:t xml:space="preserve">El software desarrollado internamente se desarrolla de forma segura.</w:t>
            </w:r>
          </w:p>
        </w:tc>
        <w:tc>
          <w:tcPr>
            <w:tcW w:type="dxa" w:w="3350"/>
            <w:shd w:fill="FFFFFF" w:val="clear"/>
            <w:tcMar>
              <w:top w:type="dxa" w:w="80"/>
              <w:left w:type="dxa" w:w="100"/>
              <w:bottom w:type="dxa" w:w="80"/>
              <w:right w:type="dxa" w:w="100"/>
            </w:tcMar>
            <w:vAlign w:val="center"/>
          </w:tcPr>
          <w:p>
            <w:pPr>
              <w:jc w:val="left"/>
            </w:pPr>
            <w:r>
              <w:rPr>
                <w:b w:val="false"/>
                <w:bCs w:val="false"/>
                <w:color w:val="000000"/>
              </w:rPr>
              <w:t xml:space="preserve">Estándar de codificación segura, revisión por pares obligatoria, SoD entre autor y aprobador.</w:t>
            </w:r>
          </w:p>
        </w:tc>
        <w:tc>
          <w:tcPr>
            <w:tcW w:type="dxa" w:w="1400"/>
            <w:shd w:fill="FFFFFF" w:val="clear"/>
            <w:tcMar>
              <w:top w:type="dxa" w:w="80"/>
              <w:left w:type="dxa" w:w="100"/>
              <w:bottom w:type="dxa" w:w="80"/>
              <w:right w:type="dxa" w:w="100"/>
            </w:tcMar>
            <w:vAlign w:val="center"/>
          </w:tcPr>
          <w:p>
            <w:pPr>
              <w:jc w:val="left"/>
            </w:pPr>
            <w:r>
              <w:rPr>
                <w:b w:val="false"/>
                <w:bCs w:val="false"/>
                <w:color w:val="000000"/>
              </w:rPr>
              <w:t xml:space="preserve">ENG-001 §4, §3.3; IAM-001 §4.2</w:t>
            </w:r>
          </w:p>
        </w:tc>
      </w:tr>
      <w:tr>
        <w:tc>
          <w:tcPr>
            <w:tcW w:type="dxa" w:w="1550"/>
            <w:shd w:fill="F2F2F2" w:val="clear"/>
            <w:tcMar>
              <w:top w:type="dxa" w:w="80"/>
              <w:left w:type="dxa" w:w="100"/>
              <w:bottom w:type="dxa" w:w="80"/>
              <w:right w:type="dxa" w:w="100"/>
            </w:tcMar>
            <w:vAlign w:val="center"/>
          </w:tcPr>
          <w:p>
            <w:pPr>
              <w:jc w:val="left"/>
            </w:pPr>
            <w:r>
              <w:rPr>
                <w:b w:val="false"/>
                <w:bCs w:val="false"/>
                <w:color w:val="000000"/>
              </w:rPr>
              <w:t xml:space="preserve">6.3</w:t>
            </w:r>
          </w:p>
        </w:tc>
        <w:tc>
          <w:tcPr>
            <w:tcW w:type="dxa" w:w="3050"/>
            <w:shd w:fill="F2F2F2" w:val="clear"/>
            <w:tcMar>
              <w:top w:type="dxa" w:w="80"/>
              <w:left w:type="dxa" w:w="100"/>
              <w:bottom w:type="dxa" w:w="80"/>
              <w:right w:type="dxa" w:w="100"/>
            </w:tcMar>
            <w:vAlign w:val="center"/>
          </w:tcPr>
          <w:p>
            <w:pPr>
              <w:jc w:val="left"/>
            </w:pPr>
            <w:r>
              <w:rPr>
                <w:b w:val="false"/>
                <w:bCs w:val="false"/>
                <w:color w:val="000000"/>
              </w:rPr>
              <w:t xml:space="preserve">Se identifican y abordan las vulnerabilidades de seguridad.</w:t>
            </w:r>
          </w:p>
        </w:tc>
        <w:tc>
          <w:tcPr>
            <w:tcW w:type="dxa" w:w="3350"/>
            <w:shd w:fill="F2F2F2" w:val="clear"/>
            <w:tcMar>
              <w:top w:type="dxa" w:w="80"/>
              <w:left w:type="dxa" w:w="100"/>
              <w:bottom w:type="dxa" w:w="80"/>
              <w:right w:type="dxa" w:w="100"/>
            </w:tcMar>
            <w:vAlign w:val="center"/>
          </w:tcPr>
          <w:p>
            <w:pPr>
              <w:jc w:val="left"/>
            </w:pPr>
            <w:r>
              <w:rPr>
                <w:b w:val="false"/>
                <w:bCs w:val="false"/>
                <w:color w:val="000000"/>
              </w:rPr>
              <w:t xml:space="preserve">SAST en cada commit, SCA con matriz de bloqueo por CVE/explotabilidad, SLA de remediación por severidad.</w:t>
            </w:r>
          </w:p>
        </w:tc>
        <w:tc>
          <w:tcPr>
            <w:tcW w:type="dxa" w:w="1400"/>
            <w:shd w:fill="F2F2F2" w:val="clear"/>
            <w:tcMar>
              <w:top w:type="dxa" w:w="80"/>
              <w:left w:type="dxa" w:w="100"/>
              <w:bottom w:type="dxa" w:w="80"/>
              <w:right w:type="dxa" w:w="100"/>
            </w:tcMar>
            <w:vAlign w:val="center"/>
          </w:tcPr>
          <w:p>
            <w:pPr>
              <w:jc w:val="left"/>
            </w:pPr>
            <w:r>
              <w:rPr>
                <w:b w:val="false"/>
                <w:bCs w:val="false"/>
                <w:color w:val="000000"/>
              </w:rPr>
              <w:t xml:space="preserve">SEC-002 §3, §5.2; SEC-001 §6.2</w:t>
            </w:r>
          </w:p>
        </w:tc>
      </w:tr>
      <w:tr>
        <w:tc>
          <w:tcPr>
            <w:tcW w:type="dxa" w:w="1550"/>
            <w:shd w:fill="FFFFFF" w:val="clear"/>
            <w:tcMar>
              <w:top w:type="dxa" w:w="80"/>
              <w:left w:type="dxa" w:w="100"/>
              <w:bottom w:type="dxa" w:w="80"/>
              <w:right w:type="dxa" w:w="100"/>
            </w:tcMar>
            <w:vAlign w:val="center"/>
          </w:tcPr>
          <w:p>
            <w:pPr>
              <w:jc w:val="left"/>
            </w:pPr>
            <w:r>
              <w:rPr>
                <w:b w:val="false"/>
                <w:bCs w:val="false"/>
                <w:color w:val="000000"/>
              </w:rPr>
              <w:t xml:space="preserve">6.4</w:t>
            </w:r>
          </w:p>
        </w:tc>
        <w:tc>
          <w:tcPr>
            <w:tcW w:type="dxa" w:w="3050"/>
            <w:shd w:fill="FFFFFF" w:val="clear"/>
            <w:tcMar>
              <w:top w:type="dxa" w:w="80"/>
              <w:left w:type="dxa" w:w="100"/>
              <w:bottom w:type="dxa" w:w="80"/>
              <w:right w:type="dxa" w:w="100"/>
            </w:tcMar>
            <w:vAlign w:val="center"/>
          </w:tcPr>
          <w:p>
            <w:pPr>
              <w:jc w:val="left"/>
            </w:pPr>
            <w:r>
              <w:rPr>
                <w:b w:val="false"/>
                <w:bCs w:val="false"/>
                <w:color w:val="000000"/>
              </w:rPr>
              <w:t xml:space="preserve">Las aplicaciones web públicas están protegidas contra ataques.</w:t>
            </w:r>
          </w:p>
        </w:tc>
        <w:tc>
          <w:tcPr>
            <w:tcW w:type="dxa" w:w="3350"/>
            <w:shd w:fill="FFFFFF" w:val="clear"/>
            <w:tcMar>
              <w:top w:type="dxa" w:w="80"/>
              <w:left w:type="dxa" w:w="100"/>
              <w:bottom w:type="dxa" w:w="80"/>
              <w:right w:type="dxa" w:w="100"/>
            </w:tcMar>
            <w:vAlign w:val="center"/>
          </w:tcPr>
          <w:p>
            <w:pPr>
              <w:jc w:val="left"/>
            </w:pPr>
            <w:r>
              <w:rPr>
                <w:b w:val="false"/>
                <w:bCs w:val="false"/>
                <w:color w:val="000000"/>
              </w:rPr>
              <w:t xml:space="preserve">WAF corporativo (AWS WAF / Azure WAF), DDoS Protection, DAST activo/pasivo en preproducción.</w:t>
            </w:r>
          </w:p>
        </w:tc>
        <w:tc>
          <w:tcPr>
            <w:tcW w:type="dxa" w:w="1400"/>
            <w:shd w:fill="FFFFFF" w:val="clear"/>
            <w:tcMar>
              <w:top w:type="dxa" w:w="80"/>
              <w:left w:type="dxa" w:w="100"/>
              <w:bottom w:type="dxa" w:w="80"/>
              <w:right w:type="dxa" w:w="100"/>
            </w:tcMar>
            <w:vAlign w:val="center"/>
          </w:tcPr>
          <w:p>
            <w:pPr>
              <w:jc w:val="left"/>
            </w:pPr>
            <w:r>
              <w:rPr>
                <w:b w:val="false"/>
                <w:bCs w:val="false"/>
                <w:color w:val="000000"/>
              </w:rPr>
              <w:t xml:space="preserve">ARC-002 §4.3; SEC-002 §7</w:t>
            </w:r>
          </w:p>
        </w:tc>
      </w:tr>
      <w:tr>
        <w:tc>
          <w:tcPr>
            <w:tcW w:type="dxa" w:w="1550"/>
            <w:shd w:fill="F2F2F2" w:val="clear"/>
            <w:tcMar>
              <w:top w:type="dxa" w:w="80"/>
              <w:left w:type="dxa" w:w="100"/>
              <w:bottom w:type="dxa" w:w="80"/>
              <w:right w:type="dxa" w:w="100"/>
            </w:tcMar>
            <w:vAlign w:val="center"/>
          </w:tcPr>
          <w:p>
            <w:pPr>
              <w:jc w:val="left"/>
            </w:pPr>
            <w:r>
              <w:rPr>
                <w:b w:val="false"/>
                <w:bCs w:val="false"/>
                <w:color w:val="000000"/>
              </w:rPr>
              <w:t xml:space="preserve">6.5</w:t>
            </w:r>
          </w:p>
        </w:tc>
        <w:tc>
          <w:tcPr>
            <w:tcW w:type="dxa" w:w="3050"/>
            <w:shd w:fill="F2F2F2" w:val="clear"/>
            <w:tcMar>
              <w:top w:type="dxa" w:w="80"/>
              <w:left w:type="dxa" w:w="100"/>
              <w:bottom w:type="dxa" w:w="80"/>
              <w:right w:type="dxa" w:w="100"/>
            </w:tcMar>
            <w:vAlign w:val="center"/>
          </w:tcPr>
          <w:p>
            <w:pPr>
              <w:jc w:val="left"/>
            </w:pPr>
            <w:r>
              <w:rPr>
                <w:b w:val="false"/>
                <w:bCs w:val="false"/>
                <w:color w:val="000000"/>
              </w:rPr>
              <w:t xml:space="preserve">Los cambios a los componentes del sistema se gestionan de forma segura.</w:t>
            </w:r>
          </w:p>
        </w:tc>
        <w:tc>
          <w:tcPr>
            <w:tcW w:type="dxa" w:w="3350"/>
            <w:shd w:fill="F2F2F2" w:val="clear"/>
            <w:tcMar>
              <w:top w:type="dxa" w:w="80"/>
              <w:left w:type="dxa" w:w="100"/>
              <w:bottom w:type="dxa" w:w="80"/>
              <w:right w:type="dxa" w:w="100"/>
            </w:tcMar>
            <w:vAlign w:val="center"/>
          </w:tcPr>
          <w:p>
            <w:pPr>
              <w:jc w:val="left"/>
            </w:pPr>
            <w:r>
              <w:rPr>
                <w:b w:val="false"/>
                <w:bCs w:val="false"/>
                <w:color w:val="000000"/>
              </w:rPr>
              <w:t xml:space="preserve">Gates de calidad y seguridad obligatorios, aprobación registrada, pipeline único con etapas inmutables, rollback automatizado.</w:t>
            </w:r>
          </w:p>
        </w:tc>
        <w:tc>
          <w:tcPr>
            <w:tcW w:type="dxa" w:w="1400"/>
            <w:shd w:fill="F2F2F2" w:val="clear"/>
            <w:tcMar>
              <w:top w:type="dxa" w:w="80"/>
              <w:left w:type="dxa" w:w="100"/>
              <w:bottom w:type="dxa" w:w="80"/>
              <w:right w:type="dxa" w:w="100"/>
            </w:tcMar>
            <w:vAlign w:val="center"/>
          </w:tcPr>
          <w:p>
            <w:pPr>
              <w:jc w:val="left"/>
            </w:pPr>
            <w:r>
              <w:rPr>
                <w:b w:val="false"/>
                <w:bCs w:val="false"/>
                <w:color w:val="000000"/>
              </w:rPr>
              <w:t xml:space="preserve">GOB-001 §6; ENG-002 §3-4; OPS-002 §5</w:t>
            </w:r>
          </w:p>
        </w:tc>
      </w:tr>
      <w:tr>
        <w:tc>
          <w:tcPr>
            <w:tcW w:type="dxa" w:w="1550"/>
            <w:shd w:fill="FFFFFF" w:val="clear"/>
            <w:tcMar>
              <w:top w:type="dxa" w:w="80"/>
              <w:left w:type="dxa" w:w="100"/>
              <w:bottom w:type="dxa" w:w="80"/>
              <w:right w:type="dxa" w:w="100"/>
            </w:tcMar>
            <w:vAlign w:val="center"/>
          </w:tcPr>
          <w:p>
            <w:pPr>
              <w:jc w:val="left"/>
            </w:pPr>
            <w:r>
              <w:rPr>
                <w:b w:val="false"/>
                <w:bCs w:val="false"/>
                <w:color w:val="000000"/>
              </w:rPr>
              <w:t xml:space="preserve">7</w:t>
            </w:r>
          </w:p>
        </w:tc>
        <w:tc>
          <w:tcPr>
            <w:tcW w:type="dxa" w:w="3050"/>
            <w:shd w:fill="FFFFFF" w:val="clear"/>
            <w:tcMar>
              <w:top w:type="dxa" w:w="80"/>
              <w:left w:type="dxa" w:w="100"/>
              <w:bottom w:type="dxa" w:w="80"/>
              <w:right w:type="dxa" w:w="100"/>
            </w:tcMar>
            <w:vAlign w:val="center"/>
          </w:tcPr>
          <w:p>
            <w:pPr>
              <w:jc w:val="left"/>
            </w:pPr>
            <w:r>
              <w:rPr>
                <w:b w:val="false"/>
                <w:bCs w:val="false"/>
                <w:color w:val="000000"/>
              </w:rPr>
              <w:t xml:space="preserve">Se restringe el acceso a los componentes del sistema y a los datos de titulares de tarjetas según la necesidad de negocio.</w:t>
            </w:r>
          </w:p>
        </w:tc>
        <w:tc>
          <w:tcPr>
            <w:tcW w:type="dxa" w:w="3350"/>
            <w:shd w:fill="FFFFFF" w:val="clear"/>
            <w:tcMar>
              <w:top w:type="dxa" w:w="80"/>
              <w:left w:type="dxa" w:w="100"/>
              <w:bottom w:type="dxa" w:w="80"/>
              <w:right w:type="dxa" w:w="100"/>
            </w:tcMar>
            <w:vAlign w:val="center"/>
          </w:tcPr>
          <w:p>
            <w:pPr>
              <w:jc w:val="left"/>
            </w:pPr>
            <w:r>
              <w:rPr>
                <w:b w:val="false"/>
                <w:bCs w:val="false"/>
                <w:color w:val="000000"/>
              </w:rPr>
              <w:t xml:space="preserve">RBAC con mínimo privilegio, segregación de funciones Dev/Prod, revisión trimestral de accesos.</w:t>
            </w:r>
          </w:p>
        </w:tc>
        <w:tc>
          <w:tcPr>
            <w:tcW w:type="dxa" w:w="1400"/>
            <w:shd w:fill="FFFFFF" w:val="clear"/>
            <w:tcMar>
              <w:top w:type="dxa" w:w="80"/>
              <w:left w:type="dxa" w:w="100"/>
              <w:bottom w:type="dxa" w:w="80"/>
              <w:right w:type="dxa" w:w="100"/>
            </w:tcMar>
            <w:vAlign w:val="center"/>
          </w:tcPr>
          <w:p>
            <w:pPr>
              <w:jc w:val="left"/>
            </w:pPr>
            <w:r>
              <w:rPr>
                <w:b w:val="false"/>
                <w:bCs w:val="false"/>
                <w:color w:val="000000"/>
              </w:rPr>
              <w:t xml:space="preserve">IAM-001 §4, §7</w:t>
            </w:r>
          </w:p>
        </w:tc>
      </w:tr>
      <w:tr>
        <w:tc>
          <w:tcPr>
            <w:tcW w:type="dxa" w:w="1550"/>
            <w:shd w:fill="F2F2F2" w:val="clear"/>
            <w:tcMar>
              <w:top w:type="dxa" w:w="80"/>
              <w:left w:type="dxa" w:w="100"/>
              <w:bottom w:type="dxa" w:w="80"/>
              <w:right w:type="dxa" w:w="100"/>
            </w:tcMar>
            <w:vAlign w:val="center"/>
          </w:tcPr>
          <w:p>
            <w:pPr>
              <w:jc w:val="left"/>
            </w:pPr>
            <w:r>
              <w:rPr>
                <w:b w:val="false"/>
                <w:bCs w:val="false"/>
                <w:color w:val="000000"/>
              </w:rPr>
              <w:t xml:space="preserve">8</w:t>
            </w:r>
          </w:p>
        </w:tc>
        <w:tc>
          <w:tcPr>
            <w:tcW w:type="dxa" w:w="3050"/>
            <w:shd w:fill="F2F2F2" w:val="clear"/>
            <w:tcMar>
              <w:top w:type="dxa" w:w="80"/>
              <w:left w:type="dxa" w:w="100"/>
              <w:bottom w:type="dxa" w:w="80"/>
              <w:right w:type="dxa" w:w="100"/>
            </w:tcMar>
            <w:vAlign w:val="center"/>
          </w:tcPr>
          <w:p>
            <w:pPr>
              <w:jc w:val="left"/>
            </w:pPr>
            <w:r>
              <w:rPr>
                <w:b w:val="false"/>
                <w:bCs w:val="false"/>
                <w:color w:val="000000"/>
              </w:rPr>
              <w:t xml:space="preserve">Se identifica a los usuarios y se autentica el acceso a los componentes del sistema.</w:t>
            </w:r>
          </w:p>
        </w:tc>
        <w:tc>
          <w:tcPr>
            <w:tcW w:type="dxa" w:w="3350"/>
            <w:shd w:fill="F2F2F2" w:val="clear"/>
            <w:tcMar>
              <w:top w:type="dxa" w:w="80"/>
              <w:left w:type="dxa" w:w="100"/>
              <w:bottom w:type="dxa" w:w="80"/>
              <w:right w:type="dxa" w:w="100"/>
            </w:tcMar>
            <w:vAlign w:val="center"/>
          </w:tcPr>
          <w:p>
            <w:pPr>
              <w:jc w:val="left"/>
            </w:pPr>
            <w:r>
              <w:rPr>
                <w:b w:val="false"/>
                <w:bCs w:val="false"/>
                <w:color w:val="000000"/>
              </w:rPr>
              <w:t xml:space="preserve">SSO federado obligatorio, MFA resistente a phishing, PAM/JIT para accesos privilegiados, sin contraseñas estáticas.</w:t>
            </w:r>
          </w:p>
        </w:tc>
        <w:tc>
          <w:tcPr>
            <w:tcW w:type="dxa" w:w="1400"/>
            <w:shd w:fill="F2F2F2" w:val="clear"/>
            <w:tcMar>
              <w:top w:type="dxa" w:w="80"/>
              <w:left w:type="dxa" w:w="100"/>
              <w:bottom w:type="dxa" w:w="80"/>
              <w:right w:type="dxa" w:w="100"/>
            </w:tcMar>
            <w:vAlign w:val="center"/>
          </w:tcPr>
          <w:p>
            <w:pPr>
              <w:jc w:val="left"/>
            </w:pPr>
            <w:r>
              <w:rPr>
                <w:b w:val="false"/>
                <w:bCs w:val="false"/>
                <w:color w:val="000000"/>
              </w:rPr>
              <w:t xml:space="preserve">IAM-001 §3.1-3.2, §6</w:t>
            </w:r>
          </w:p>
        </w:tc>
      </w:tr>
      <w:tr>
        <w:tc>
          <w:tcPr>
            <w:tcW w:type="dxa" w:w="1550"/>
            <w:shd w:fill="FFFFFF" w:val="clear"/>
            <w:tcMar>
              <w:top w:type="dxa" w:w="80"/>
              <w:left w:type="dxa" w:w="100"/>
              <w:bottom w:type="dxa" w:w="80"/>
              <w:right w:type="dxa" w:w="100"/>
            </w:tcMar>
            <w:vAlign w:val="center"/>
          </w:tcPr>
          <w:p>
            <w:pPr>
              <w:jc w:val="left"/>
            </w:pPr>
            <w:r>
              <w:rPr>
                <w:b w:val="false"/>
                <w:bCs w:val="false"/>
                <w:color w:val="000000"/>
              </w:rPr>
              <w:t xml:space="preserve">10</w:t>
            </w:r>
          </w:p>
        </w:tc>
        <w:tc>
          <w:tcPr>
            <w:tcW w:type="dxa" w:w="3050"/>
            <w:shd w:fill="FFFFFF" w:val="clear"/>
            <w:tcMar>
              <w:top w:type="dxa" w:w="80"/>
              <w:left w:type="dxa" w:w="100"/>
              <w:bottom w:type="dxa" w:w="80"/>
              <w:right w:type="dxa" w:w="100"/>
            </w:tcMar>
            <w:vAlign w:val="center"/>
          </w:tcPr>
          <w:p>
            <w:pPr>
              <w:jc w:val="left"/>
            </w:pPr>
            <w:r>
              <w:rPr>
                <w:b w:val="false"/>
                <w:bCs w:val="false"/>
                <w:color w:val="000000"/>
              </w:rPr>
              <w:t xml:space="preserve">Se registra y monitorea todo acceso a los componentes del sistema y a los datos de titulares de tarjetas.</w:t>
            </w:r>
          </w:p>
        </w:tc>
        <w:tc>
          <w:tcPr>
            <w:tcW w:type="dxa" w:w="3350"/>
            <w:shd w:fill="FFFFFF" w:val="clear"/>
            <w:tcMar>
              <w:top w:type="dxa" w:w="80"/>
              <w:left w:type="dxa" w:w="100"/>
              <w:bottom w:type="dxa" w:w="80"/>
              <w:right w:type="dxa" w:w="100"/>
            </w:tcMar>
            <w:vAlign w:val="center"/>
          </w:tcPr>
          <w:p>
            <w:pPr>
              <w:jc w:val="left"/>
            </w:pPr>
            <w:r>
              <w:rPr>
                <w:b w:val="false"/>
                <w:bCs w:val="false"/>
                <w:color w:val="000000"/>
              </w:rPr>
              <w:t xml:space="preserve">CloudTrail / Azure Activity Log habilitados con retención de 12 meses, alertamiento automático ante anomalías, logs estructurados inmutables.</w:t>
            </w:r>
          </w:p>
        </w:tc>
        <w:tc>
          <w:tcPr>
            <w:tcW w:type="dxa" w:w="1400"/>
            <w:shd w:fill="FFFFFF" w:val="clear"/>
            <w:tcMar>
              <w:top w:type="dxa" w:w="80"/>
              <w:left w:type="dxa" w:w="100"/>
              <w:bottom w:type="dxa" w:w="80"/>
              <w:right w:type="dxa" w:w="100"/>
            </w:tcMar>
            <w:vAlign w:val="center"/>
          </w:tcPr>
          <w:p>
            <w:pPr>
              <w:jc w:val="left"/>
            </w:pPr>
            <w:r>
              <w:rPr>
                <w:b w:val="false"/>
                <w:bCs w:val="false"/>
                <w:color w:val="000000"/>
              </w:rPr>
              <w:t xml:space="preserve">INT-001 §6; SEC-001 §4; ENG-001 §4.3</w:t>
            </w:r>
          </w:p>
        </w:tc>
      </w:tr>
    </w:tbl>
    <w:p>
      <w:pPr>
        <w:spacing w:after="200" w:line="276"/>
      </w:pPr>
      <w:r>
        <w:t xml:space="preserve">Esta tabla constituye el Responsibility Assignment Matrix (RAM) de cumplimiento técnico de la organización y se presenta como evidencia primaria ante el QSA en cada ciclo de evaluación, complementada por el paquete de muestreo automatizado del capítulo 5.</w:t>
      </w:r>
    </w:p>
    <w:p>
      <w:pPr>
        <w:pStyle w:val="Heading1"/>
        <w:pageBreakBefore/>
        <w:spacing w:after="240" w:before="480"/>
      </w:pPr>
      <w:r>
        <w:rPr>
          <w:b/>
          <w:bCs/>
        </w:rPr>
        <w:t xml:space="preserve">4. Segregación CDE vs No-CDE</w:t>
      </w:r>
    </w:p>
    <w:p>
      <w:pPr>
        <w:spacing w:after="200" w:line="276"/>
      </w:pPr>
      <w:r>
        <w:t xml:space="preserve">La segmentación de red reduce el alcance de la auditoría PCI DSS a únicamente los componentes que realmente forman parte del CDE, en lugar de extenderla a toda la plataforma. Esta segmentación se implementa a nivel de red, materializando en infraestructura la estructura de subredes ya definida en ARC-002, sección 4.1, dedicando subredes exclusivas al CDE.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3500"/>
        <w:gridCol w:w="3400"/>
      </w:tblGrid>
      <w:tr>
        <w:trPr>
          <w:tblHeader/>
        </w:trPr>
        <w:tc>
          <w:tcPr>
            <w:tcW w:type="dxa" w:w="2450"/>
            <w:shd w:fill="1F3864" w:val="clear"/>
            <w:tcMar>
              <w:top w:type="dxa" w:w="80"/>
              <w:left w:type="dxa" w:w="100"/>
              <w:bottom w:type="dxa" w:w="80"/>
              <w:right w:type="dxa" w:w="100"/>
            </w:tcMar>
            <w:vAlign w:val="center"/>
          </w:tcPr>
          <w:p>
            <w:pPr>
              <w:jc w:val="left"/>
            </w:pPr>
            <w:r>
              <w:rPr>
                <w:b/>
                <w:bCs/>
                <w:color w:val="FFFFFF"/>
              </w:rPr>
              <w:t xml:space="preserve">Zona de Red</w:t>
            </w:r>
          </w:p>
        </w:tc>
        <w:tc>
          <w:tcPr>
            <w:tcW w:type="dxa" w:w="3500"/>
            <w:shd w:fill="1F3864" w:val="clear"/>
            <w:tcMar>
              <w:top w:type="dxa" w:w="80"/>
              <w:left w:type="dxa" w:w="100"/>
              <w:bottom w:type="dxa" w:w="80"/>
              <w:right w:type="dxa" w:w="100"/>
            </w:tcMar>
            <w:vAlign w:val="center"/>
          </w:tcPr>
          <w:p>
            <w:pPr>
              <w:jc w:val="left"/>
            </w:pPr>
            <w:r>
              <w:rPr>
                <w:b/>
                <w:bCs/>
                <w:color w:val="FFFFFF"/>
              </w:rPr>
              <w:t xml:space="preserve">Contenido</w:t>
            </w:r>
          </w:p>
        </w:tc>
        <w:tc>
          <w:tcPr>
            <w:tcW w:type="dxa" w:w="3400"/>
            <w:shd w:fill="1F3864" w:val="clear"/>
            <w:tcMar>
              <w:top w:type="dxa" w:w="80"/>
              <w:left w:type="dxa" w:w="100"/>
              <w:bottom w:type="dxa" w:w="80"/>
              <w:right w:type="dxa" w:w="100"/>
            </w:tcMar>
            <w:vAlign w:val="center"/>
          </w:tcPr>
          <w:p>
            <w:pPr>
              <w:jc w:val="left"/>
            </w:pPr>
            <w:r>
              <w:rPr>
                <w:b/>
                <w:bCs/>
                <w:color w:val="FFFFFF"/>
              </w:rPr>
              <w:t xml:space="preserve">Regla de Tráfico Entrante</w:t>
            </w:r>
          </w:p>
        </w:tc>
      </w:tr>
      <w:tr>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CDE — Subred Aislada</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Base de datos de transacciones, Vault de secretos de pagos.</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Únicamente desde la subred privada del CDE; ningún origen fuera del VPC/VNet de pagos.</w:t>
            </w:r>
          </w:p>
        </w:tc>
      </w:tr>
      <w:tr>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CDE — Subred Privada</w:t>
            </w:r>
          </w:p>
        </w:tc>
        <w:tc>
          <w:tcPr>
            <w:tcW w:type="dxa" w:w="3500"/>
            <w:shd w:fill="F2F2F2" w:val="clear"/>
            <w:tcMar>
              <w:top w:type="dxa" w:w="80"/>
              <w:left w:type="dxa" w:w="100"/>
              <w:bottom w:type="dxa" w:w="80"/>
              <w:right w:type="dxa" w:w="100"/>
            </w:tcMar>
            <w:vAlign w:val="center"/>
          </w:tcPr>
          <w:p>
            <w:pPr>
              <w:jc w:val="left"/>
            </w:pPr>
            <w:r>
              <w:rPr>
                <w:b w:val="false"/>
                <w:bCs w:val="false"/>
                <w:color w:val="000000"/>
              </w:rPr>
              <w:t xml:space="preserve">Node pool EKS/AKS dedicado a pagos-api y servicios de tokenización.</w:t>
            </w:r>
          </w:p>
        </w:tc>
        <w:tc>
          <w:tcPr>
            <w:tcW w:type="dxa" w:w="3400"/>
            <w:shd w:fill="F2F2F2" w:val="clear"/>
            <w:tcMar>
              <w:top w:type="dxa" w:w="80"/>
              <w:left w:type="dxa" w:w="100"/>
              <w:bottom w:type="dxa" w:w="80"/>
              <w:right w:type="dxa" w:w="100"/>
            </w:tcMar>
            <w:vAlign w:val="center"/>
          </w:tcPr>
          <w:p>
            <w:pPr>
              <w:jc w:val="left"/>
            </w:pPr>
            <w:r>
              <w:rPr>
                <w:b w:val="false"/>
                <w:bCs w:val="false"/>
                <w:color w:val="000000"/>
              </w:rPr>
              <w:t xml:space="preserve">Únicamente desde el API Gateway corporativo, vía la subred pública del mismo VPC/VNet (ver ARC-002, sección 4.1).</w:t>
            </w:r>
          </w:p>
        </w:tc>
      </w:tr>
      <w:tr>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No-CDE — Resto de la plataforma</w:t>
            </w:r>
          </w:p>
        </w:tc>
        <w:tc>
          <w:tcPr>
            <w:tcW w:type="dxa" w:w="3500"/>
            <w:shd w:fill="FFFFFF" w:val="clear"/>
            <w:tcMar>
              <w:top w:type="dxa" w:w="80"/>
              <w:left w:type="dxa" w:w="100"/>
              <w:bottom w:type="dxa" w:w="80"/>
              <w:right w:type="dxa" w:w="100"/>
            </w:tcMar>
            <w:vAlign w:val="center"/>
          </w:tcPr>
          <w:p>
            <w:pPr>
              <w:jc w:val="left"/>
            </w:pPr>
            <w:r>
              <w:rPr>
                <w:b w:val="false"/>
                <w:bCs w:val="false"/>
                <w:color w:val="000000"/>
              </w:rPr>
              <w:t xml:space="preserve">Catálogo, CMS, herramientas administrativas, otros dominios de negocio.</w:t>
            </w:r>
          </w:p>
        </w:tc>
        <w:tc>
          <w:tcPr>
            <w:tcW w:type="dxa" w:w="3400"/>
            <w:shd w:fill="FFFFFF" w:val="clear"/>
            <w:tcMar>
              <w:top w:type="dxa" w:w="80"/>
              <w:left w:type="dxa" w:w="100"/>
              <w:bottom w:type="dxa" w:w="80"/>
              <w:right w:type="dxa" w:w="100"/>
            </w:tcMar>
            <w:vAlign w:val="center"/>
          </w:tcPr>
          <w:p>
            <w:pPr>
              <w:jc w:val="left"/>
            </w:pPr>
            <w:r>
              <w:rPr>
                <w:b w:val="false"/>
                <w:bCs w:val="false"/>
                <w:color w:val="000000"/>
              </w:rPr>
              <w:t xml:space="preserve">Sin ruta de red hacia las subredes del CDE; cualquier integración necesaria transita exclusivamente por el API Gateway con autenticación y autorización explícitas.</w:t>
            </w:r>
          </w:p>
        </w:tc>
      </w:tr>
    </w:tbl>
    <w:p>
      <w:pPr>
        <w:spacing w:after="200" w:line="276"/>
      </w:pPr>
      <w:r>
        <w:t xml:space="preserve">La segmentación no se declara una única vez: se valida de forma continua mediante un job automatizado que confirma la ausencia de rutas de red no autorizadas entre las subredes No-CDE y las subredes del CDE, generando evidencia diaria reutilizable en el muestreo del capítulo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 Job de validación continua de segmentación de red (evidencia PCI Req. 1 / 6.4)</w:t>
            </w:r>
          </w:p>
          <w:p>
            <w:pPr>
              <w:spacing w:after="0"/>
            </w:pPr>
            <w:r>
              <w:rPr>
                <w:rFonts w:ascii="Consolas" w:cs="Consolas" w:eastAsia="Consolas" w:hAnsi="Consolas"/>
                <w:color w:val="D4D4D4"/>
                <w:sz w:val="16"/>
                <w:szCs w:val="16"/>
              </w:rPr>
              <w:t xml:space="preserve">validate-cde-segmentation:</w:t>
            </w:r>
          </w:p>
          <w:p>
            <w:pPr>
              <w:spacing w:after="0"/>
            </w:pPr>
            <w:r>
              <w:rPr>
                <w:rFonts w:ascii="Consolas" w:cs="Consolas" w:eastAsia="Consolas" w:hAnsi="Consolas"/>
                <w:color w:val="D4D4D4"/>
                <w:sz w:val="16"/>
                <w:szCs w:val="16"/>
              </w:rPr>
              <w:t xml:space="preserve">  stage: security</w:t>
            </w:r>
          </w:p>
          <w:p>
            <w:pPr>
              <w:spacing w:after="0"/>
            </w:pPr>
            <w:r>
              <w:rPr>
                <w:rFonts w:ascii="Consolas" w:cs="Consolas" w:eastAsia="Consolas" w:hAnsi="Consolas"/>
                <w:color w:val="D4D4D4"/>
                <w:sz w:val="16"/>
                <w:szCs w:val="16"/>
              </w:rPr>
              <w:t xml:space="preserve">  schedule: "0 6 * * *"   # diario</w:t>
            </w:r>
          </w:p>
          <w:p>
            <w:pPr>
              <w:spacing w:after="0"/>
            </w:pPr>
            <w:r>
              <w:rPr>
                <w:rFonts w:ascii="Consolas" w:cs="Consolas" w:eastAsia="Consolas" w:hAnsi="Consolas"/>
                <w:color w:val="D4D4D4"/>
                <w:sz w:val="16"/>
                <w:szCs w:val="16"/>
              </w:rPr>
              <w:t xml:space="preserve">  script:</w:t>
            </w:r>
          </w:p>
          <w:p>
            <w:pPr>
              <w:spacing w:after="0"/>
            </w:pPr>
            <w:r>
              <w:rPr>
                <w:rFonts w:ascii="Consolas" w:cs="Consolas" w:eastAsia="Consolas" w:hAnsi="Consolas"/>
                <w:color w:val="D4D4D4"/>
                <w:sz w:val="16"/>
                <w:szCs w:val="16"/>
              </w:rPr>
              <w:t xml:space="preserve">    - python3 network-segmentation-check.py</w:t>
            </w:r>
          </w:p>
          <w:p>
            <w:pPr>
              <w:spacing w:after="0"/>
            </w:pPr>
            <w:r>
              <w:rPr>
                <w:rFonts w:ascii="Consolas" w:cs="Consolas" w:eastAsia="Consolas" w:hAnsi="Consolas"/>
                <w:color w:val="D4D4D4"/>
                <w:sz w:val="16"/>
                <w:szCs w:val="16"/>
              </w:rPr>
              <w:t xml:space="preserve">        --cde-subnets subnet-cde-aislada,subnet-cde-privada</w:t>
            </w:r>
          </w:p>
          <w:p>
            <w:pPr>
              <w:spacing w:after="0"/>
            </w:pPr>
            <w:r>
              <w:rPr>
                <w:rFonts w:ascii="Consolas" w:cs="Consolas" w:eastAsia="Consolas" w:hAnsi="Consolas"/>
                <w:color w:val="D4D4D4"/>
                <w:sz w:val="16"/>
                <w:szCs w:val="16"/>
              </w:rPr>
              <w:t xml:space="preserve">        --expect-no-route-from non-cde-subnets</w:t>
            </w:r>
          </w:p>
          <w:p>
            <w:pPr>
              <w:spacing w:after="0"/>
            </w:pPr>
            <w:r>
              <w:rPr>
                <w:rFonts w:ascii="Consolas" w:cs="Consolas" w:eastAsia="Consolas" w:hAnsi="Consolas"/>
                <w:color w:val="D4D4D4"/>
                <w:sz w:val="16"/>
                <w:szCs w:val="16"/>
              </w:rPr>
              <w:t xml:space="preserve">        --report segmentation-evidence.json</w:t>
            </w:r>
          </w:p>
          <w:p>
            <w:pPr>
              <w:spacing w:after="0"/>
            </w:pPr>
            <w:r>
              <w:rPr>
                <w:rFonts w:ascii="Consolas" w:cs="Consolas" w:eastAsia="Consolas" w:hAnsi="Consolas"/>
                <w:color w:val="D4D4D4"/>
                <w:sz w:val="16"/>
                <w:szCs w:val="16"/>
              </w:rPr>
              <w:t xml:space="preserve">  artifacts:</w:t>
            </w:r>
          </w:p>
          <w:p>
            <w:pPr>
              <w:spacing w:after="0"/>
            </w:pPr>
            <w:r>
              <w:rPr>
                <w:rFonts w:ascii="Consolas" w:cs="Consolas" w:eastAsia="Consolas" w:hAnsi="Consolas"/>
                <w:color w:val="D4D4D4"/>
                <w:sz w:val="16"/>
                <w:szCs w:val="16"/>
              </w:rPr>
              <w:t xml:space="preserve">    paths: ["segmentation-evidence.json"]</w:t>
            </w:r>
          </w:p>
          <w:p>
            <w:pPr>
              <w:spacing w:after="0"/>
            </w:pPr>
            <w:r>
              <w:rPr>
                <w:rFonts w:ascii="Consolas" w:cs="Consolas" w:eastAsia="Consolas" w:hAnsi="Consolas"/>
                <w:color w:val="D4D4D4"/>
                <w:sz w:val="16"/>
                <w:szCs w:val="16"/>
              </w:rPr>
              <w:t xml:space="preserve">    expire_in: 13 months   # ver retención de evidencia, sección 5</w:t>
            </w:r>
          </w:p>
        </w:tc>
      </w:tr>
    </w:tbl>
    <w:p>
      <w:pPr>
        <w:pStyle w:val="Heading1"/>
        <w:pageBreakBefore/>
        <w:spacing w:after="240" w:before="480"/>
      </w:pPr>
      <w:r>
        <w:rPr>
          <w:b/>
          <w:bCs/>
        </w:rPr>
        <w:t xml:space="preserve">5. Muestreo Automatizado para QSA</w:t>
      </w:r>
    </w:p>
    <w:p>
      <w:pPr>
        <w:spacing w:after="200" w:line="276"/>
      </w:pPr>
      <w:r>
        <w:t xml:space="preserve">En lugar de recopilar evidencia manualmente ante cada ciclo de auditoría —un proceso lento y propenso a inconsistencias— la organización genera de forma continua y automatizada las muestras de evidencia que el QSA típicamente solicita, reduciendo el esfuerzo de preparación de la auditoría de semanas a horas.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2450"/>
      </w:tblGrid>
      <w:tr>
        <w:trPr>
          <w:tblHeader/>
        </w:trPr>
        <w:tc>
          <w:tcPr>
            <w:tcW w:type="dxa" w:w="2900"/>
            <w:shd w:fill="1F3864" w:val="clear"/>
            <w:tcMar>
              <w:top w:type="dxa" w:w="80"/>
              <w:left w:type="dxa" w:w="100"/>
              <w:bottom w:type="dxa" w:w="80"/>
              <w:right w:type="dxa" w:w="100"/>
            </w:tcMar>
            <w:vAlign w:val="center"/>
          </w:tcPr>
          <w:p>
            <w:pPr>
              <w:jc w:val="left"/>
            </w:pPr>
            <w:r>
              <w:rPr>
                <w:b/>
                <w:bCs/>
                <w:color w:val="FFFFFF"/>
              </w:rPr>
              <w:t xml:space="preserve">Tipo de Evidencia</w:t>
            </w:r>
          </w:p>
        </w:tc>
        <w:tc>
          <w:tcPr>
            <w:tcW w:type="dxa" w:w="4000"/>
            <w:shd w:fill="1F3864" w:val="clear"/>
            <w:tcMar>
              <w:top w:type="dxa" w:w="80"/>
              <w:left w:type="dxa" w:w="100"/>
              <w:bottom w:type="dxa" w:w="80"/>
              <w:right w:type="dxa" w:w="100"/>
            </w:tcMar>
            <w:vAlign w:val="center"/>
          </w:tcPr>
          <w:p>
            <w:pPr>
              <w:jc w:val="left"/>
            </w:pPr>
            <w:r>
              <w:rPr>
                <w:b/>
                <w:bCs/>
                <w:color w:val="FFFFFF"/>
              </w:rPr>
              <w:t xml:space="preserve">Fuente Automatizada</w:t>
            </w:r>
          </w:p>
        </w:tc>
        <w:tc>
          <w:tcPr>
            <w:tcW w:type="dxa" w:w="2450"/>
            <w:shd w:fill="1F3864" w:val="clear"/>
            <w:tcMar>
              <w:top w:type="dxa" w:w="80"/>
              <w:left w:type="dxa" w:w="100"/>
              <w:bottom w:type="dxa" w:w="80"/>
              <w:right w:type="dxa" w:w="100"/>
            </w:tcMar>
            <w:vAlign w:val="center"/>
          </w:tcPr>
          <w:p>
            <w:pPr>
              <w:jc w:val="left"/>
            </w:pPr>
            <w:r>
              <w:rPr>
                <w:b/>
                <w:bCs/>
                <w:color w:val="FFFFFF"/>
              </w:rPr>
              <w:t xml:space="preserve">Frecuencia de Muestreo</w:t>
            </w:r>
          </w:p>
        </w:tc>
      </w:tr>
      <w:tr>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Aprobaciones de Merge Request (Req. 6.5)</w:t>
            </w:r>
          </w:p>
        </w:tc>
        <w:tc>
          <w:tcPr>
            <w:tcW w:type="dxa" w:w="4000"/>
            <w:shd w:fill="FFFFFF" w:val="clear"/>
            <w:tcMar>
              <w:top w:type="dxa" w:w="80"/>
              <w:left w:type="dxa" w:w="100"/>
              <w:bottom w:type="dxa" w:w="80"/>
              <w:right w:type="dxa" w:w="100"/>
            </w:tcMar>
            <w:vAlign w:val="center"/>
          </w:tcPr>
          <w:p>
            <w:pPr>
              <w:jc w:val="left"/>
            </w:pPr>
            <w:r>
              <w:rPr>
                <w:b w:val="false"/>
                <w:bCs w:val="false"/>
                <w:color w:val="000000"/>
              </w:rPr>
              <w:t xml:space="preserve">API de GitLab: muestra aleatoria de MRs fusionados a servicios del CDE en el período.</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Mensual, muestra del 10% o mínimo 25 MRs.</w:t>
            </w:r>
          </w:p>
        </w:tc>
      </w:tr>
      <w:tr>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Resultados de SAST/SCA (Req. 6.2, 6.3)</w:t>
            </w:r>
          </w:p>
        </w:tc>
        <w:tc>
          <w:tcPr>
            <w:tcW w:type="dxa" w:w="4000"/>
            <w:shd w:fill="F2F2F2" w:val="clear"/>
            <w:tcMar>
              <w:top w:type="dxa" w:w="80"/>
              <w:left w:type="dxa" w:w="100"/>
              <w:bottom w:type="dxa" w:w="80"/>
              <w:right w:type="dxa" w:w="100"/>
            </w:tcMar>
            <w:vAlign w:val="center"/>
          </w:tcPr>
          <w:p>
            <w:pPr>
              <w:jc w:val="left"/>
            </w:pPr>
            <w:r>
              <w:rPr>
                <w:b w:val="false"/>
                <w:bCs w:val="false"/>
                <w:color w:val="000000"/>
              </w:rPr>
              <w:t xml:space="preserve">Reportes de pipeline archivados conforme a SEC-002.</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Continuo; disponible bajo demanda para cualquier commit del período de auditoría.</w:t>
            </w:r>
          </w:p>
        </w:tc>
      </w:tr>
      <w:tr>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Revisiones de acceso (Req. 7, 8)</w:t>
            </w:r>
          </w:p>
        </w:tc>
        <w:tc>
          <w:tcPr>
            <w:tcW w:type="dxa" w:w="4000"/>
            <w:shd w:fill="FFFFFF" w:val="clear"/>
            <w:tcMar>
              <w:top w:type="dxa" w:w="80"/>
              <w:left w:type="dxa" w:w="100"/>
              <w:bottom w:type="dxa" w:w="80"/>
              <w:right w:type="dxa" w:w="100"/>
            </w:tcMar>
            <w:vAlign w:val="center"/>
          </w:tcPr>
          <w:p>
            <w:pPr>
              <w:jc w:val="left"/>
            </w:pPr>
            <w:r>
              <w:rPr>
                <w:b w:val="false"/>
                <w:bCs w:val="false"/>
                <w:color w:val="000000"/>
              </w:rPr>
              <w:t xml:space="preserve">Sistema de recertificación trimestral de IAM-001, sección 3.3.</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Trimestral, exportación completa del período.</w:t>
            </w:r>
          </w:p>
        </w:tc>
      </w:tr>
      <w:tr>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Logs de auditoría (Req. 10)</w:t>
            </w:r>
          </w:p>
        </w:tc>
        <w:tc>
          <w:tcPr>
            <w:tcW w:type="dxa" w:w="4000"/>
            <w:shd w:fill="F2F2F2" w:val="clear"/>
            <w:tcMar>
              <w:top w:type="dxa" w:w="80"/>
              <w:left w:type="dxa" w:w="100"/>
              <w:bottom w:type="dxa" w:w="80"/>
              <w:right w:type="dxa" w:w="100"/>
            </w:tcMar>
            <w:vAlign w:val="center"/>
          </w:tcPr>
          <w:p>
            <w:pPr>
              <w:jc w:val="left"/>
            </w:pPr>
            <w:r>
              <w:rPr>
                <w:b w:val="false"/>
                <w:bCs w:val="false"/>
                <w:color w:val="000000"/>
              </w:rPr>
              <w:t xml:space="preserve">CloudTrail / Azure Activity Log, muestra de eventos de acceso a componentes del CDE.</w:t>
            </w:r>
          </w:p>
        </w:tc>
        <w:tc>
          <w:tcPr>
            <w:tcW w:type="dxa" w:w="2450"/>
            <w:shd w:fill="F2F2F2" w:val="clear"/>
            <w:tcMar>
              <w:top w:type="dxa" w:w="80"/>
              <w:left w:type="dxa" w:w="100"/>
              <w:bottom w:type="dxa" w:w="80"/>
              <w:right w:type="dxa" w:w="100"/>
            </w:tcMar>
            <w:vAlign w:val="center"/>
          </w:tcPr>
          <w:p>
            <w:pPr>
              <w:jc w:val="left"/>
            </w:pPr>
            <w:r>
              <w:rPr>
                <w:b w:val="false"/>
                <w:bCs w:val="false"/>
                <w:color w:val="000000"/>
              </w:rPr>
              <w:t xml:space="preserve">Mensual, muestra aleatoria estratificada por tipo de evento.</w:t>
            </w:r>
          </w:p>
        </w:tc>
      </w:tr>
      <w:tr>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Evidencia de segmentación de red (Req. 1, 6.4)</w:t>
            </w:r>
          </w:p>
        </w:tc>
        <w:tc>
          <w:tcPr>
            <w:tcW w:type="dxa" w:w="4000"/>
            <w:shd w:fill="FFFFFF" w:val="clear"/>
            <w:tcMar>
              <w:top w:type="dxa" w:w="80"/>
              <w:left w:type="dxa" w:w="100"/>
              <w:bottom w:type="dxa" w:w="80"/>
              <w:right w:type="dxa" w:w="100"/>
            </w:tcMar>
            <w:vAlign w:val="center"/>
          </w:tcPr>
          <w:p>
            <w:pPr>
              <w:jc w:val="left"/>
            </w:pPr>
            <w:r>
              <w:rPr>
                <w:b w:val="false"/>
                <w:bCs w:val="false"/>
                <w:color w:val="000000"/>
              </w:rPr>
              <w:t xml:space="preserve">Resultado del job validate-cde-segmentation.</w:t>
            </w:r>
          </w:p>
        </w:tc>
        <w:tc>
          <w:tcPr>
            <w:tcW w:type="dxa" w:w="2450"/>
            <w:shd w:fill="FFFFFF" w:val="clear"/>
            <w:tcMar>
              <w:top w:type="dxa" w:w="80"/>
              <w:left w:type="dxa" w:w="100"/>
              <w:bottom w:type="dxa" w:w="80"/>
              <w:right w:type="dxa" w:w="100"/>
            </w:tcMar>
            <w:vAlign w:val="center"/>
          </w:tcPr>
          <w:p>
            <w:pPr>
              <w:jc w:val="left"/>
            </w:pPr>
            <w:r>
              <w:rPr>
                <w:b w:val="false"/>
                <w:bCs w:val="false"/>
                <w:color w:val="000000"/>
              </w:rPr>
              <w:t xml:space="preserve">Diario; se conserva evidencia continua, no solo muestreada.</w:t>
            </w:r>
          </w:p>
        </w:tc>
      </w:tr>
    </w:tbl>
    <w:p>
      <w:pPr>
        <w:spacing w:after="200" w:line="276"/>
      </w:pPr>
      <w:r>
        <w:t xml:space="preserve">El siguiente script consolida las distintas fuentes automatizadas en un único paquete de evidencia por período, ejecutado mensualmente como tarea programada: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40"/>
              <w:left w:type="dxa" w:w="200"/>
              <w:bottom w:type="dxa" w:w="140"/>
              <w:right w:type="dxa" w:w="200"/>
            </w:tcMar>
          </w:tcPr>
          <w:p>
            <w:pPr>
              <w:spacing w:after="0"/>
            </w:pPr>
            <w:r>
              <w:rPr>
                <w:rFonts w:ascii="Consolas" w:cs="Consolas" w:eastAsia="Consolas" w:hAnsi="Consolas"/>
                <w:color w:val="D4D4D4"/>
                <w:sz w:val="16"/>
                <w:szCs w:val="16"/>
              </w:rPr>
              <w:t xml:space="preserve">#!/usr/bin/env python3</w:t>
            </w:r>
          </w:p>
          <w:p>
            <w:pPr>
              <w:spacing w:after="0"/>
            </w:pPr>
            <w:r>
              <w:rPr>
                <w:rFonts w:ascii="Consolas" w:cs="Consolas" w:eastAsia="Consolas" w:hAnsi="Consolas"/>
                <w:color w:val="D4D4D4"/>
                <w:sz w:val="16"/>
                <w:szCs w:val="16"/>
              </w:rPr>
              <w:t xml:space="preserve"># Genera el paquete de evidencia para el QSA a partir de fuentes automatizadas</w:t>
            </w:r>
          </w:p>
          <w:p>
            <w:pPr>
              <w:spacing w:after="0"/>
            </w:pPr>
            <w:r>
              <w:rPr>
                <w:rFonts w:ascii="Consolas" w:cs="Consolas" w:eastAsia="Consolas" w:hAnsi="Consolas"/>
                <w:color w:val="D4D4D4"/>
                <w:sz w:val="16"/>
                <w:szCs w:val="16"/>
              </w:rPr>
              <w:t xml:space="preserve">import json, random, datetime</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def sample_merge_requests(project, period, sample_rate=0.10, minimum=25):</w:t>
            </w:r>
          </w:p>
          <w:p>
            <w:pPr>
              <w:spacing w:after="0"/>
            </w:pPr>
            <w:r>
              <w:rPr>
                <w:rFonts w:ascii="Consolas" w:cs="Consolas" w:eastAsia="Consolas" w:hAnsi="Consolas"/>
                <w:color w:val="D4D4D4"/>
                <w:sz w:val="16"/>
                <w:szCs w:val="16"/>
              </w:rPr>
              <w:t xml:space="preserve">    all_mrs = gitlab_api.get_merged_mrs(project, period)</w:t>
            </w:r>
          </w:p>
          <w:p>
            <w:pPr>
              <w:spacing w:after="0"/>
            </w:pPr>
            <w:r>
              <w:rPr>
                <w:rFonts w:ascii="Consolas" w:cs="Consolas" w:eastAsia="Consolas" w:hAnsi="Consolas"/>
                <w:color w:val="D4D4D4"/>
                <w:sz w:val="16"/>
                <w:szCs w:val="16"/>
              </w:rPr>
              <w:t xml:space="preserve">    n = max(minimum, int(len(all_mrs) * sample_rate))</w:t>
            </w:r>
          </w:p>
          <w:p>
            <w:pPr>
              <w:spacing w:after="0"/>
            </w:pPr>
            <w:r>
              <w:rPr>
                <w:rFonts w:ascii="Consolas" w:cs="Consolas" w:eastAsia="Consolas" w:hAnsi="Consolas"/>
                <w:color w:val="D4D4D4"/>
                <w:sz w:val="16"/>
                <w:szCs w:val="16"/>
              </w:rPr>
              <w:t xml:space="preserve">    return random.sample(all_mrs, min(n, len(all_mrs)))</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def build_evidence_package(period):</w:t>
            </w:r>
          </w:p>
          <w:p>
            <w:pPr>
              <w:spacing w:after="0"/>
            </w:pPr>
            <w:r>
              <w:rPr>
                <w:rFonts w:ascii="Consolas" w:cs="Consolas" w:eastAsia="Consolas" w:hAnsi="Consolas"/>
                <w:color w:val="D4D4D4"/>
                <w:sz w:val="16"/>
                <w:szCs w:val="16"/>
              </w:rPr>
              <w:t xml:space="preserve">    package = {</w:t>
            </w:r>
          </w:p>
          <w:p>
            <w:pPr>
              <w:spacing w:after="0"/>
            </w:pPr>
            <w:r>
              <w:rPr>
                <w:rFonts w:ascii="Consolas" w:cs="Consolas" w:eastAsia="Consolas" w:hAnsi="Consolas"/>
                <w:color w:val="D4D4D4"/>
                <w:sz w:val="16"/>
                <w:szCs w:val="16"/>
              </w:rPr>
              <w:t xml:space="preserve">        "periodo": period,</w:t>
            </w:r>
          </w:p>
          <w:p>
            <w:pPr>
              <w:spacing w:after="0"/>
            </w:pPr>
            <w:r>
              <w:rPr>
                <w:rFonts w:ascii="Consolas" w:cs="Consolas" w:eastAsia="Consolas" w:hAnsi="Consolas"/>
                <w:color w:val="D4D4D4"/>
                <w:sz w:val="16"/>
                <w:szCs w:val="16"/>
              </w:rPr>
              <w:t xml:space="preserve">        "generado": datetime.datetime.utcnow().isoformat(),</w:t>
            </w:r>
          </w:p>
          <w:p>
            <w:pPr>
              <w:spacing w:after="0"/>
            </w:pPr>
            <w:r>
              <w:rPr>
                <w:rFonts w:ascii="Consolas" w:cs="Consolas" w:eastAsia="Consolas" w:hAnsi="Consolas"/>
                <w:color w:val="D4D4D4"/>
                <w:sz w:val="16"/>
                <w:szCs w:val="16"/>
              </w:rPr>
              <w:t xml:space="preserve">        "requisito_6_5_muestras_mr": sample_merge_requests("pagos-api", period),</w:t>
            </w:r>
          </w:p>
          <w:p>
            <w:pPr>
              <w:spacing w:after="0"/>
            </w:pPr>
            <w:r>
              <w:rPr>
                <w:rFonts w:ascii="Consolas" w:cs="Consolas" w:eastAsia="Consolas" w:hAnsi="Consolas"/>
                <w:color w:val="D4D4D4"/>
                <w:sz w:val="16"/>
                <w:szCs w:val="16"/>
              </w:rPr>
              <w:t xml:space="preserve">        "requisito_6_2_6_3_reportes_pipeline": get_pipeline_security_reports(period),</w:t>
            </w:r>
          </w:p>
          <w:p>
            <w:pPr>
              <w:spacing w:after="0"/>
            </w:pPr>
            <w:r>
              <w:rPr>
                <w:rFonts w:ascii="Consolas" w:cs="Consolas" w:eastAsia="Consolas" w:hAnsi="Consolas"/>
                <w:color w:val="D4D4D4"/>
                <w:sz w:val="16"/>
                <w:szCs w:val="16"/>
              </w:rPr>
              <w:t xml:space="preserve">        "requisito_7_8_revisiones_acceso": get_access_review_export(period),</w:t>
            </w:r>
          </w:p>
          <w:p>
            <w:pPr>
              <w:spacing w:after="0"/>
            </w:pPr>
            <w:r>
              <w:rPr>
                <w:rFonts w:ascii="Consolas" w:cs="Consolas" w:eastAsia="Consolas" w:hAnsi="Consolas"/>
                <w:color w:val="D4D4D4"/>
                <w:sz w:val="16"/>
                <w:szCs w:val="16"/>
              </w:rPr>
              <w:t xml:space="preserve">        "requisito_10_logs_auditoria": sample_audit_logs(period),</w:t>
            </w:r>
          </w:p>
          <w:p>
            <w:pPr>
              <w:spacing w:after="0"/>
            </w:pPr>
            <w:r>
              <w:rPr>
                <w:rFonts w:ascii="Consolas" w:cs="Consolas" w:eastAsia="Consolas" w:hAnsi="Consolas"/>
                <w:color w:val="D4D4D4"/>
                <w:sz w:val="16"/>
                <w:szCs w:val="16"/>
              </w:rPr>
              <w:t xml:space="preserve">        "requisito_segmentacion_cde": get_daily_segmentation_evidence(period),</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with open(f"evidence-package-{period}.json", "w") as f:</w:t>
            </w:r>
          </w:p>
          <w:p>
            <w:pPr>
              <w:spacing w:after="0"/>
            </w:pPr>
            <w:r>
              <w:rPr>
                <w:rFonts w:ascii="Consolas" w:cs="Consolas" w:eastAsia="Consolas" w:hAnsi="Consolas"/>
                <w:color w:val="D4D4D4"/>
                <w:sz w:val="16"/>
                <w:szCs w:val="16"/>
              </w:rPr>
              <w:t xml:space="preserve">        json.dump(package, f, indent=2)</w:t>
            </w:r>
          </w:p>
          <w:p>
            <w:pPr>
              <w:spacing w:after="0"/>
            </w:pPr>
            <w:r>
              <w:rPr>
                <w:rFonts w:ascii="Consolas" w:cs="Consolas" w:eastAsia="Consolas" w:hAnsi="Consolas"/>
                <w:color w:val="D4D4D4"/>
                <w:sz w:val="16"/>
                <w:szCs w:val="16"/>
              </w:rPr>
              <w:t xml:space="preserve"> </w:t>
            </w:r>
          </w:p>
          <w:p>
            <w:pPr>
              <w:spacing w:after="0"/>
            </w:pPr>
            <w:r>
              <w:rPr>
                <w:rFonts w:ascii="Consolas" w:cs="Consolas" w:eastAsia="Consolas" w:hAnsi="Consolas"/>
                <w:color w:val="D4D4D4"/>
                <w:sz w:val="16"/>
                <w:szCs w:val="16"/>
              </w:rPr>
              <w:t xml:space="preserve"># Ejecutado mensualmente por una tarea programada (ver OPS-001, sección 5.1)</w:t>
            </w:r>
          </w:p>
        </w:tc>
      </w:tr>
    </w:tbl>
    <w:p>
      <w:pPr>
        <w:spacing w:after="200" w:line="276"/>
      </w:pPr>
      <w:r>
        <w:t xml:space="preserve">El paquete de evidencia generado se almacena con la misma retención mínima de 13 meses exigida por PCI DSS para la mayoría de los registros de auditoría (un mes adicional al ciclo anual de evaluación), y queda disponible para el Oficial de Cumplimiento y el QSA externo sin requerir acceso directo a los sistemas productivos del CDE.</w:t>
      </w:r>
    </w:p>
    <w:p>
      <w:pPr>
        <w:pStyle w:val="Heading1"/>
        <w:pageBreakBefore/>
        <w:spacing w:after="240" w:before="480"/>
      </w:pPr>
      <w:r>
        <w:rPr>
          <w:b/>
          <w:bCs/>
        </w:rPr>
        <w:t xml:space="preserve">6. Anexos</w:t>
      </w:r>
    </w:p>
    <w:p>
      <w:pPr>
        <w:pStyle w:val="Heading2"/>
        <w:spacing w:after="180" w:before="360"/>
      </w:pPr>
      <w:r>
        <w:rPr>
          <w:b/>
          <w:bCs/>
        </w:rPr>
        <w:t xml:space="preserve">6.1. Referencias Cruzadas del Modelo de Cumplimiento</w:t>
      </w:r>
    </w:p>
    <w:p>
      <w:pPr>
        <w:spacing w:after="200" w:line="276"/>
      </w:pPr>
      <w:r>
        <w:t xml:space="preserve">Este documento no reemplaza a las políticas técnicas subyacentes; las referencia como evidencia de implementación. La siguiente tabla resume dónde el QSA puede encontrar el detalle técnico completo de cada control mencionado en el capítulo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3864" w:val="clear"/>
            <w:tcMar>
              <w:top w:type="dxa" w:w="80"/>
              <w:left w:type="dxa" w:w="100"/>
              <w:bottom w:type="dxa" w:w="80"/>
              <w:right w:type="dxa" w:w="100"/>
            </w:tcMar>
            <w:vAlign w:val="center"/>
          </w:tcPr>
          <w:p>
            <w:pPr>
              <w:jc w:val="left"/>
            </w:pPr>
            <w:r>
              <w:rPr>
                <w:b/>
                <w:bCs/>
                <w:color w:val="FFFFFF"/>
              </w:rPr>
              <w:t xml:space="preserve">Documento</w:t>
            </w:r>
          </w:p>
        </w:tc>
        <w:tc>
          <w:tcPr>
            <w:tcW w:type="dxa" w:w="5550"/>
            <w:shd w:fill="1F3864" w:val="clear"/>
            <w:tcMar>
              <w:top w:type="dxa" w:w="80"/>
              <w:left w:type="dxa" w:w="100"/>
              <w:bottom w:type="dxa" w:w="80"/>
              <w:right w:type="dxa" w:w="100"/>
            </w:tcMar>
            <w:vAlign w:val="center"/>
          </w:tcPr>
          <w:p>
            <w:pPr>
              <w:jc w:val="left"/>
            </w:pPr>
            <w:r>
              <w:rPr>
                <w:b/>
                <w:bCs/>
                <w:color w:val="FFFFFF"/>
              </w:rPr>
              <w:t xml:space="preserve">Controles PCI DSS Relacionados</w:t>
            </w:r>
          </w:p>
        </w:tc>
      </w:tr>
      <w:tr>
        <w:tc>
          <w:tcPr>
            <w:tcW w:type="dxa" w:w="3800"/>
            <w:shd w:fill="FFFFFF" w:val="clear"/>
            <w:tcMar>
              <w:top w:type="dxa" w:w="80"/>
              <w:left w:type="dxa" w:w="100"/>
              <w:bottom w:type="dxa" w:w="80"/>
              <w:right w:type="dxa" w:w="100"/>
            </w:tcMar>
            <w:vAlign w:val="center"/>
          </w:tcPr>
          <w:p>
            <w:pPr>
              <w:jc w:val="left"/>
            </w:pPr>
            <w:r>
              <w:rPr>
                <w:b w:val="false"/>
                <w:bCs w:val="false"/>
                <w:color w:val="000000"/>
              </w:rPr>
              <w:t xml:space="preserve">SEC-001 — Política de Seguridad DevSecOps</w:t>
            </w:r>
          </w:p>
        </w:tc>
        <w:tc>
          <w:tcPr>
            <w:tcW w:type="dxa" w:w="5550"/>
            <w:shd w:fill="FFFFFF" w:val="clear"/>
            <w:tcMar>
              <w:top w:type="dxa" w:w="80"/>
              <w:left w:type="dxa" w:w="100"/>
              <w:bottom w:type="dxa" w:w="80"/>
              <w:right w:type="dxa" w:w="100"/>
            </w:tcMar>
            <w:vAlign w:val="center"/>
          </w:tcPr>
          <w:p>
            <w:pPr>
              <w:jc w:val="left"/>
            </w:pPr>
            <w:r>
              <w:rPr>
                <w:b w:val="false"/>
                <w:bCs w:val="false"/>
                <w:color w:val="000000"/>
              </w:rPr>
              <w:t xml:space="preserve">Req. 6.2, 6.3, 10 (clasificación de datos, SLA de remediación, retención de auditoría)</w:t>
            </w:r>
          </w:p>
        </w:tc>
      </w:tr>
      <w:tr>
        <w:tc>
          <w:tcPr>
            <w:tcW w:type="dxa" w:w="3800"/>
            <w:shd w:fill="F2F2F2" w:val="clear"/>
            <w:tcMar>
              <w:top w:type="dxa" w:w="80"/>
              <w:left w:type="dxa" w:w="100"/>
              <w:bottom w:type="dxa" w:w="80"/>
              <w:right w:type="dxa" w:w="100"/>
            </w:tcMar>
            <w:vAlign w:val="center"/>
          </w:tcPr>
          <w:p>
            <w:pPr>
              <w:jc w:val="left"/>
            </w:pPr>
            <w:r>
              <w:rPr>
                <w:b w:val="false"/>
                <w:bCs w:val="false"/>
                <w:color w:val="000000"/>
              </w:rPr>
              <w:t xml:space="preserve">SEC-002 — Estándar de Seguridad en Pipelines</w:t>
            </w:r>
          </w:p>
        </w:tc>
        <w:tc>
          <w:tcPr>
            <w:tcW w:type="dxa" w:w="5550"/>
            <w:shd w:fill="F2F2F2" w:val="clear"/>
            <w:tcMar>
              <w:top w:type="dxa" w:w="80"/>
              <w:left w:type="dxa" w:w="100"/>
              <w:bottom w:type="dxa" w:w="80"/>
              <w:right w:type="dxa" w:w="100"/>
            </w:tcMar>
            <w:vAlign w:val="center"/>
          </w:tcPr>
          <w:p>
            <w:pPr>
              <w:jc w:val="left"/>
            </w:pPr>
            <w:r>
              <w:rPr>
                <w:b w:val="false"/>
                <w:bCs w:val="false"/>
                <w:color w:val="000000"/>
              </w:rPr>
              <w:t xml:space="preserve">Req. 6.2, 6.3, 6.4 (SAST, SCA, DAST, umbrales de bloqueo)</w:t>
            </w:r>
          </w:p>
        </w:tc>
      </w:tr>
      <w:tr>
        <w:tc>
          <w:tcPr>
            <w:tcW w:type="dxa" w:w="3800"/>
            <w:shd w:fill="FFFFFF" w:val="clear"/>
            <w:tcMar>
              <w:top w:type="dxa" w:w="80"/>
              <w:left w:type="dxa" w:w="100"/>
              <w:bottom w:type="dxa" w:w="80"/>
              <w:right w:type="dxa" w:w="100"/>
            </w:tcMar>
            <w:vAlign w:val="center"/>
          </w:tcPr>
          <w:p>
            <w:pPr>
              <w:jc w:val="left"/>
            </w:pPr>
            <w:r>
              <w:rPr>
                <w:b w:val="false"/>
                <w:bCs w:val="false"/>
                <w:color w:val="000000"/>
              </w:rPr>
              <w:t xml:space="preserve">IAM-001 — Modelo de Identidad y Acceso</w:t>
            </w:r>
          </w:p>
        </w:tc>
        <w:tc>
          <w:tcPr>
            <w:tcW w:type="dxa" w:w="5550"/>
            <w:shd w:fill="FFFFFF" w:val="clear"/>
            <w:tcMar>
              <w:top w:type="dxa" w:w="80"/>
              <w:left w:type="dxa" w:w="100"/>
              <w:bottom w:type="dxa" w:w="80"/>
              <w:right w:type="dxa" w:w="100"/>
            </w:tcMar>
            <w:vAlign w:val="center"/>
          </w:tcPr>
          <w:p>
            <w:pPr>
              <w:jc w:val="left"/>
            </w:pPr>
            <w:r>
              <w:rPr>
                <w:b w:val="false"/>
                <w:bCs w:val="false"/>
                <w:color w:val="000000"/>
              </w:rPr>
              <w:t xml:space="preserve">Req. 7, 8 (RBAC, MFA, SSO, PAM, revisión de accesos)</w:t>
            </w:r>
          </w:p>
        </w:tc>
      </w:tr>
      <w:tr>
        <w:tc>
          <w:tcPr>
            <w:tcW w:type="dxa" w:w="3800"/>
            <w:shd w:fill="F2F2F2" w:val="clear"/>
            <w:tcMar>
              <w:top w:type="dxa" w:w="80"/>
              <w:left w:type="dxa" w:w="100"/>
              <w:bottom w:type="dxa" w:w="80"/>
              <w:right w:type="dxa" w:w="100"/>
            </w:tcMar>
            <w:vAlign w:val="center"/>
          </w:tcPr>
          <w:p>
            <w:pPr>
              <w:jc w:val="left"/>
            </w:pPr>
            <w:r>
              <w:rPr>
                <w:b w:val="false"/>
                <w:bCs w:val="false"/>
                <w:color w:val="000000"/>
              </w:rPr>
              <w:t xml:space="preserve">ARC-002 — Arquitecturas de Referencia Cloud</w:t>
            </w:r>
          </w:p>
        </w:tc>
        <w:tc>
          <w:tcPr>
            <w:tcW w:type="dxa" w:w="5550"/>
            <w:shd w:fill="F2F2F2" w:val="clear"/>
            <w:tcMar>
              <w:top w:type="dxa" w:w="80"/>
              <w:left w:type="dxa" w:w="100"/>
              <w:bottom w:type="dxa" w:w="80"/>
              <w:right w:type="dxa" w:w="100"/>
            </w:tcMar>
            <w:vAlign w:val="center"/>
          </w:tcPr>
          <w:p>
            <w:pPr>
              <w:jc w:val="left"/>
            </w:pPr>
            <w:r>
              <w:rPr>
                <w:b w:val="false"/>
                <w:bCs w:val="false"/>
                <w:color w:val="000000"/>
              </w:rPr>
              <w:t xml:space="preserve">Req. 1, 6.4 (segmentación de red, WAF, DDoS Protection)</w:t>
            </w:r>
          </w:p>
        </w:tc>
      </w:tr>
      <w:tr>
        <w:tc>
          <w:tcPr>
            <w:tcW w:type="dxa" w:w="3800"/>
            <w:shd w:fill="FFFFFF" w:val="clear"/>
            <w:tcMar>
              <w:top w:type="dxa" w:w="80"/>
              <w:left w:type="dxa" w:w="100"/>
              <w:bottom w:type="dxa" w:w="80"/>
              <w:right w:type="dxa" w:w="100"/>
            </w:tcMar>
            <w:vAlign w:val="center"/>
          </w:tcPr>
          <w:p>
            <w:pPr>
              <w:jc w:val="left"/>
            </w:pPr>
            <w:r>
              <w:rPr>
                <w:b w:val="false"/>
                <w:bCs w:val="false"/>
                <w:color w:val="000000"/>
              </w:rPr>
              <w:t xml:space="preserve">OPS-001 / OPS-002 — Modelo Operativo / Gestión de Deploy</w:t>
            </w:r>
          </w:p>
        </w:tc>
        <w:tc>
          <w:tcPr>
            <w:tcW w:type="dxa" w:w="5550"/>
            <w:shd w:fill="FFFFFF" w:val="clear"/>
            <w:tcMar>
              <w:top w:type="dxa" w:w="80"/>
              <w:left w:type="dxa" w:w="100"/>
              <w:bottom w:type="dxa" w:w="80"/>
              <w:right w:type="dxa" w:w="100"/>
            </w:tcMar>
            <w:vAlign w:val="center"/>
          </w:tcPr>
          <w:p>
            <w:pPr>
              <w:jc w:val="left"/>
            </w:pPr>
            <w:r>
              <w:rPr>
                <w:b w:val="false"/>
                <w:bCs w:val="false"/>
                <w:color w:val="000000"/>
              </w:rPr>
              <w:t xml:space="preserve">Req. 6.5, 10 (gestión de cambios, incidentes, aprobaciones)</w:t>
            </w:r>
          </w:p>
        </w:tc>
      </w:tr>
      <w:tr>
        <w:tc>
          <w:tcPr>
            <w:tcW w:type="dxa" w:w="3800"/>
            <w:shd w:fill="F2F2F2" w:val="clear"/>
            <w:tcMar>
              <w:top w:type="dxa" w:w="80"/>
              <w:left w:type="dxa" w:w="100"/>
              <w:bottom w:type="dxa" w:w="80"/>
              <w:right w:type="dxa" w:w="100"/>
            </w:tcMar>
            <w:vAlign w:val="center"/>
          </w:tcPr>
          <w:p>
            <w:pPr>
              <w:jc w:val="left"/>
            </w:pPr>
            <w:r>
              <w:rPr>
                <w:b w:val="false"/>
                <w:bCs w:val="false"/>
                <w:color w:val="000000"/>
              </w:rPr>
              <w:t xml:space="preserve">ART-001 — Modelo de Gestión de Artefactos</w:t>
            </w:r>
          </w:p>
        </w:tc>
        <w:tc>
          <w:tcPr>
            <w:tcW w:type="dxa" w:w="5550"/>
            <w:shd w:fill="F2F2F2" w:val="clear"/>
            <w:tcMar>
              <w:top w:type="dxa" w:w="80"/>
              <w:left w:type="dxa" w:w="100"/>
              <w:bottom w:type="dxa" w:w="80"/>
              <w:right w:type="dxa" w:w="100"/>
            </w:tcMar>
            <w:vAlign w:val="center"/>
          </w:tcPr>
          <w:p>
            <w:pPr>
              <w:jc w:val="left"/>
            </w:pPr>
            <w:r>
              <w:rPr>
                <w:b w:val="false"/>
                <w:bCs w:val="false"/>
                <w:color w:val="000000"/>
              </w:rPr>
              <w:t xml:space="preserve">Req. 6.5 (integridad y trazabilidad de artefactos desplegados)</w:t>
            </w:r>
          </w:p>
        </w:tc>
      </w:tr>
      <w:tr>
        <w:tc>
          <w:tcPr>
            <w:tcW w:type="dxa" w:w="3800"/>
            <w:shd w:fill="FFFFFF" w:val="clear"/>
            <w:tcMar>
              <w:top w:type="dxa" w:w="80"/>
              <w:left w:type="dxa" w:w="100"/>
              <w:bottom w:type="dxa" w:w="80"/>
              <w:right w:type="dxa" w:w="100"/>
            </w:tcMar>
            <w:vAlign w:val="center"/>
          </w:tcPr>
          <w:p>
            <w:pPr>
              <w:jc w:val="left"/>
            </w:pPr>
            <w:r>
              <w:rPr>
                <w:b w:val="false"/>
                <w:bCs w:val="false"/>
                <w:color w:val="000000"/>
              </w:rPr>
              <w:t xml:space="preserve">INT-001 — Especificaciones de Integración Cloud</w:t>
            </w:r>
          </w:p>
        </w:tc>
        <w:tc>
          <w:tcPr>
            <w:tcW w:type="dxa" w:w="5550"/>
            <w:shd w:fill="FFFFFF" w:val="clear"/>
            <w:tcMar>
              <w:top w:type="dxa" w:w="80"/>
              <w:left w:type="dxa" w:w="100"/>
              <w:bottom w:type="dxa" w:w="80"/>
              <w:right w:type="dxa" w:w="100"/>
            </w:tcMar>
            <w:vAlign w:val="center"/>
          </w:tcPr>
          <w:p>
            <w:pPr>
              <w:jc w:val="left"/>
            </w:pPr>
            <w:r>
              <w:rPr>
                <w:b w:val="false"/>
                <w:bCs w:val="false"/>
                <w:color w:val="000000"/>
              </w:rPr>
              <w:t xml:space="preserve">Req. 10 (CloudTrail / Azure Activity Log, auditoría de integraciones)</w:t>
            </w:r>
          </w:p>
        </w:tc>
      </w:tr>
    </w:tbl>
    <w:p>
      <w:pPr>
        <w:pStyle w:val="Heading1"/>
        <w:pageBreakBefore/>
        <w:spacing w:after="200" w:before="500"/>
      </w:pPr>
      <w:r>
        <w:rPr>
          <w:b/>
          <w:bCs/>
        </w:rPr>
        <w:t xml:space="preserve">Firma y Aprobación</w:t>
      </w:r>
    </w:p>
    <w:p>
      <w:pPr>
        <w:spacing w:after="200" w:line="276"/>
      </w:pPr>
      <w:r>
        <w:t xml:space="preserve">La aprobación formal de este documento requiere la firma de los tres roles siguientes, reflejando su naturaleza de cumplimiento regulatorio, que excede el proceso de aprobación estándar de DOC-001 al incorporar al Oficial de Cumplimiento como firmante obligatorio.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135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rPr>
              <w:t xml:space="preserve">Rol</w:t>
            </w:r>
          </w:p>
        </w:tc>
        <w:tc>
          <w:tcPr>
            <w:tcW w:type="dxa" w:w="2600"/>
            <w:shd w:fill="1F3864" w:val="clear"/>
            <w:tcMar>
              <w:top w:type="dxa" w:w="80"/>
              <w:left w:type="dxa" w:w="100"/>
              <w:bottom w:type="dxa" w:w="80"/>
              <w:right w:type="dxa" w:w="100"/>
            </w:tcMar>
            <w:vAlign w:val="center"/>
          </w:tcPr>
          <w:p>
            <w:pPr>
              <w:jc w:val="left"/>
            </w:pPr>
            <w:r>
              <w:rPr>
                <w:b/>
                <w:bCs/>
                <w:color w:val="FFFFFF"/>
              </w:rPr>
              <w:t xml:space="preserve">Nombre</w:t>
            </w:r>
          </w:p>
        </w:tc>
        <w:tc>
          <w:tcPr>
            <w:tcW w:type="dxa" w:w="1800"/>
            <w:shd w:fill="1F3864" w:val="clear"/>
            <w:tcMar>
              <w:top w:type="dxa" w:w="80"/>
              <w:left w:type="dxa" w:w="100"/>
              <w:bottom w:type="dxa" w:w="80"/>
              <w:right w:type="dxa" w:w="100"/>
            </w:tcMar>
            <w:vAlign w:val="center"/>
          </w:tcPr>
          <w:p>
            <w:pPr>
              <w:jc w:val="left"/>
            </w:pPr>
            <w:r>
              <w:rPr>
                <w:b/>
                <w:bCs/>
                <w:color w:val="FFFFFF"/>
              </w:rPr>
              <w:t xml:space="preserve">Firma</w:t>
            </w:r>
          </w:p>
        </w:tc>
        <w:tc>
          <w:tcPr>
            <w:tcW w:type="dxa" w:w="1350"/>
            <w:shd w:fill="1F3864" w:val="clear"/>
            <w:tcMar>
              <w:top w:type="dxa" w:w="80"/>
              <w:left w:type="dxa" w:w="100"/>
              <w:bottom w:type="dxa" w:w="80"/>
              <w:right w:type="dxa" w:w="100"/>
            </w:tcMar>
            <w:vAlign w:val="center"/>
          </w:tcPr>
          <w:p>
            <w:pPr>
              <w:jc w:val="left"/>
            </w:pPr>
            <w:r>
              <w:rPr>
                <w:b/>
                <w:bCs/>
                <w:color w:val="FFFFFF"/>
              </w:rPr>
              <w:t xml:space="preserve">Fecha</w:t>
            </w:r>
          </w:p>
        </w:tc>
      </w:tr>
      <w:tr>
        <w:tc>
          <w:tcPr>
            <w:tcW w:type="dxa" w:w="2600"/>
            <w:shd w:fill="F2F2F2" w:val="clear"/>
            <w:tcMar>
              <w:top w:type="dxa" w:w="80"/>
              <w:left w:type="dxa" w:w="100"/>
              <w:bottom w:type="dxa" w:w="80"/>
              <w:right w:type="dxa" w:w="100"/>
            </w:tcMar>
            <w:vAlign w:val="center"/>
          </w:tcPr>
          <w:p>
            <w:pPr>
              <w:jc w:val="left"/>
            </w:pPr>
            <w:r>
              <w:rPr>
                <w:b/>
                <w:bCs/>
                <w:color w:val="000000"/>
              </w:rPr>
              <w:t xml:space="preserve">Líder DevSecOps</w:t>
            </w:r>
          </w:p>
        </w:tc>
        <w:tc>
          <w:tcPr>
            <w:tcW w:type="dxa" w:w="2600"/>
            <w:tcMar>
              <w:top w:type="dxa" w:w="80"/>
              <w:left w:type="dxa" w:w="100"/>
              <w:bottom w:type="dxa" w:w="80"/>
              <w:right w:type="dxa" w:w="100"/>
            </w:tcMar>
            <w:vAlign w:val="center"/>
          </w:tcPr>
          <w:p>
            <w:pPr>
              <w:jc w:val="left"/>
            </w:pPr>
            <w:r>
              <w:rPr>
                <w:b w:val="false"/>
                <w:bCs w:val="false"/>
                <w:color w:val="000000"/>
              </w:rPr>
              <w:t xml:space="preserve">____________________</w:t>
            </w:r>
          </w:p>
        </w:tc>
        <w:tc>
          <w:tcPr>
            <w:tcW w:type="dxa" w:w="1800"/>
            <w:tcMar>
              <w:top w:type="dxa" w:w="80"/>
              <w:left w:type="dxa" w:w="100"/>
              <w:bottom w:type="dxa" w:w="80"/>
              <w:right w:type="dxa" w:w="100"/>
            </w:tcMar>
            <w:vAlign w:val="center"/>
          </w:tcPr>
          <w:p>
            <w:pPr>
              <w:jc w:val="left"/>
            </w:pPr>
            <w:r>
              <w:rPr>
                <w:b w:val="false"/>
                <w:bCs w:val="false"/>
                <w:color w:val="000000"/>
              </w:rPr>
              <w:t xml:space="preserve">_________</w:t>
            </w:r>
          </w:p>
        </w:tc>
        <w:tc>
          <w:tcPr>
            <w:tcW w:type="dxa" w:w="1350"/>
            <w:tcMar>
              <w:top w:type="dxa" w:w="80"/>
              <w:left w:type="dxa" w:w="100"/>
              <w:bottom w:type="dxa" w:w="80"/>
              <w:right w:type="dxa" w:w="100"/>
            </w:tcMar>
            <w:vAlign w:val="center"/>
          </w:tcPr>
          <w:p>
            <w:pPr>
              <w:jc w:val="left"/>
            </w:pPr>
            <w:r>
              <w:rPr>
                <w:b w:val="false"/>
                <w:bCs w:val="false"/>
                <w:color w:val="000000"/>
              </w:rPr>
              <w:t xml:space="preserve">__/__/____</w:t>
            </w:r>
          </w:p>
        </w:tc>
      </w:tr>
      <w:tr>
        <w:tc>
          <w:tcPr>
            <w:tcW w:type="dxa" w:w="2600"/>
            <w:shd w:fill="F2F2F2" w:val="clear"/>
            <w:tcMar>
              <w:top w:type="dxa" w:w="80"/>
              <w:left w:type="dxa" w:w="100"/>
              <w:bottom w:type="dxa" w:w="80"/>
              <w:right w:type="dxa" w:w="100"/>
            </w:tcMar>
            <w:vAlign w:val="center"/>
          </w:tcPr>
          <w:p>
            <w:pPr>
              <w:jc w:val="left"/>
            </w:pPr>
            <w:r>
              <w:rPr>
                <w:b/>
                <w:bCs/>
                <w:color w:val="000000"/>
              </w:rPr>
              <w:t xml:space="preserve">Arquitecto de Seguridad</w:t>
            </w:r>
          </w:p>
        </w:tc>
        <w:tc>
          <w:tcPr>
            <w:tcW w:type="dxa" w:w="2600"/>
            <w:tcMar>
              <w:top w:type="dxa" w:w="80"/>
              <w:left w:type="dxa" w:w="100"/>
              <w:bottom w:type="dxa" w:w="80"/>
              <w:right w:type="dxa" w:w="100"/>
            </w:tcMar>
            <w:vAlign w:val="center"/>
          </w:tcPr>
          <w:p>
            <w:pPr>
              <w:jc w:val="left"/>
            </w:pPr>
            <w:r>
              <w:rPr>
                <w:b w:val="false"/>
                <w:bCs w:val="false"/>
                <w:color w:val="000000"/>
              </w:rPr>
              <w:t xml:space="preserve">____________________</w:t>
            </w:r>
          </w:p>
        </w:tc>
        <w:tc>
          <w:tcPr>
            <w:tcW w:type="dxa" w:w="1800"/>
            <w:tcMar>
              <w:top w:type="dxa" w:w="80"/>
              <w:left w:type="dxa" w:w="100"/>
              <w:bottom w:type="dxa" w:w="80"/>
              <w:right w:type="dxa" w:w="100"/>
            </w:tcMar>
            <w:vAlign w:val="center"/>
          </w:tcPr>
          <w:p>
            <w:pPr>
              <w:jc w:val="left"/>
            </w:pPr>
            <w:r>
              <w:rPr>
                <w:b w:val="false"/>
                <w:bCs w:val="false"/>
                <w:color w:val="000000"/>
              </w:rPr>
              <w:t xml:space="preserve">_________</w:t>
            </w:r>
          </w:p>
        </w:tc>
        <w:tc>
          <w:tcPr>
            <w:tcW w:type="dxa" w:w="1350"/>
            <w:tcMar>
              <w:top w:type="dxa" w:w="80"/>
              <w:left w:type="dxa" w:w="100"/>
              <w:bottom w:type="dxa" w:w="80"/>
              <w:right w:type="dxa" w:w="100"/>
            </w:tcMar>
            <w:vAlign w:val="center"/>
          </w:tcPr>
          <w:p>
            <w:pPr>
              <w:jc w:val="left"/>
            </w:pPr>
            <w:r>
              <w:rPr>
                <w:b w:val="false"/>
                <w:bCs w:val="false"/>
                <w:color w:val="000000"/>
              </w:rPr>
              <w:t xml:space="preserve">__/__/____</w:t>
            </w:r>
          </w:p>
        </w:tc>
      </w:tr>
      <w:tr>
        <w:tc>
          <w:tcPr>
            <w:tcW w:type="dxa" w:w="2600"/>
            <w:shd w:fill="F2F2F2" w:val="clear"/>
            <w:tcMar>
              <w:top w:type="dxa" w:w="80"/>
              <w:left w:type="dxa" w:w="100"/>
              <w:bottom w:type="dxa" w:w="80"/>
              <w:right w:type="dxa" w:w="100"/>
            </w:tcMar>
            <w:vAlign w:val="center"/>
          </w:tcPr>
          <w:p>
            <w:pPr>
              <w:jc w:val="left"/>
            </w:pPr>
            <w:r>
              <w:rPr>
                <w:b/>
                <w:bCs/>
                <w:color w:val="000000"/>
              </w:rPr>
              <w:t xml:space="preserve">Oficial de Cumplimiento (PCI)</w:t>
            </w:r>
          </w:p>
        </w:tc>
        <w:tc>
          <w:tcPr>
            <w:tcW w:type="dxa" w:w="2600"/>
            <w:tcMar>
              <w:top w:type="dxa" w:w="80"/>
              <w:left w:type="dxa" w:w="100"/>
              <w:bottom w:type="dxa" w:w="80"/>
              <w:right w:type="dxa" w:w="100"/>
            </w:tcMar>
            <w:vAlign w:val="center"/>
          </w:tcPr>
          <w:p>
            <w:pPr>
              <w:jc w:val="left"/>
            </w:pPr>
            <w:r>
              <w:rPr>
                <w:b w:val="false"/>
                <w:bCs w:val="false"/>
                <w:color w:val="000000"/>
              </w:rPr>
              <w:t xml:space="preserve">____________________</w:t>
            </w:r>
          </w:p>
        </w:tc>
        <w:tc>
          <w:tcPr>
            <w:tcW w:type="dxa" w:w="1800"/>
            <w:tcMar>
              <w:top w:type="dxa" w:w="80"/>
              <w:left w:type="dxa" w:w="100"/>
              <w:bottom w:type="dxa" w:w="80"/>
              <w:right w:type="dxa" w:w="100"/>
            </w:tcMar>
            <w:vAlign w:val="center"/>
          </w:tcPr>
          <w:p>
            <w:pPr>
              <w:jc w:val="left"/>
            </w:pPr>
            <w:r>
              <w:rPr>
                <w:b w:val="false"/>
                <w:bCs w:val="false"/>
                <w:color w:val="000000"/>
              </w:rPr>
              <w:t xml:space="preserve">_________</w:t>
            </w:r>
          </w:p>
        </w:tc>
        <w:tc>
          <w:tcPr>
            <w:tcW w:type="dxa" w:w="1350"/>
            <w:tcMar>
              <w:top w:type="dxa" w:w="80"/>
              <w:left w:type="dxa" w:w="100"/>
              <w:bottom w:type="dxa" w:w="80"/>
              <w:right w:type="dxa" w:w="100"/>
            </w:tcMar>
            <w:vAlign w:val="center"/>
          </w:tcPr>
          <w:p>
            <w:pPr>
              <w:jc w:val="left"/>
            </w:pPr>
            <w:r>
              <w:rPr>
                <w:b w:val="false"/>
                <w:bCs w:val="false"/>
                <w:color w:val="000000"/>
              </w:rPr>
              <w:t xml:space="preserve">__/__/____</w:t>
            </w:r>
          </w:p>
        </w:tc>
      </w:tr>
    </w:tbl>
    <w:p>
      <w:pPr>
        <w:pBdr>
          <w:top w:val="single" w:color="BFBFBF" w:sz="4"/>
        </w:pBdr>
        <w:spacing w:before="400"/>
      </w:pPr>
    </w:p>
    <w:p>
      <w:pPr>
        <w:spacing w:before="200"/>
      </w:pPr>
      <w:r>
        <w:rPr>
          <w:i/>
          <w:iCs/>
          <w:color w:val="808080"/>
          <w:sz w:val="18"/>
          <w:szCs w:val="18"/>
        </w:rPr>
        <w:t xml:space="preserve">Fin del documento CMP-001 — Modelo de Cumplimiento PCI DSS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Confidencial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CMP-001 · Modelo de Cumplimiento PCI DSS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2026-08-17T02:56:38.971Z</dcterms:created>
  <dcterms:modified xsi:type="dcterms:W3CDTF">2026-08-17T02:56:38.985Z</dcterms:modified>
</cp:coreProperties>
</file>

<file path=docProps/custom.xml><?xml version="1.0" encoding="utf-8"?>
<Properties xmlns="http://schemas.openxmlformats.org/officeDocument/2006/custom-properties" xmlns:vt="http://schemas.openxmlformats.org/officeDocument/2006/docPropsVTypes"/>
</file>