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2E5395"/>
          <w:sz w:val="32"/>
          <w:szCs w:val="32"/>
        </w:rPr>
        <w:t xml:space="preserve">ARC-001</w:t>
      </w:r>
    </w:p>
    <w:p>
      <w:pPr>
        <w:spacing w:after="120" w:before="240"/>
        <w:jc w:val="center"/>
      </w:pPr>
      <w:r>
        <w:rPr>
          <w:b/>
          <w:bCs/>
          <w:color w:val="1F3864"/>
          <w:sz w:val="56"/>
          <w:szCs w:val="56"/>
        </w:rPr>
        <w:t xml:space="preserve">Arquitectura Empresarial Target</w:t>
      </w:r>
    </w:p>
    <w:p>
      <w:pPr>
        <w:spacing w:after="600"/>
        <w:jc w:val="center"/>
      </w:pPr>
      <w:r>
        <w:rPr>
          <w:i/>
          <w:iCs/>
          <w:color w:val="595959"/>
          <w:sz w:val="24"/>
          <w:szCs w:val="24"/>
        </w:rPr>
        <w:t xml:space="preserve">Visión objetivo de arquitectura, principios, ecosistema tecnológico y estrategia de datos</w:t>
      </w:r>
    </w:p>
    <w:p>
      <w:pPr>
        <w:spacing w:before="1600"/>
        <w:jc w:val="center"/>
      </w:pPr>
      <w:r>
        <w:rPr>
          <w:color w:val="595959"/>
          <w:sz w:val="22"/>
          <w:szCs w:val="22"/>
        </w:rPr>
        <w:t xml:space="preserve">Versión 1.0  ·  Julio 2026</w:t>
      </w:r>
    </w:p>
    <w:p>
      <w:pPr>
        <w:jc w:val="center"/>
      </w:pPr>
      <w:r>
        <w:rPr>
          <w:b/>
          <w:bCs/>
          <w:color w:val="C00000"/>
          <w:sz w:val="22"/>
          <w:szCs w:val="22"/>
        </w:rPr>
        <w:t xml:space="preserve">Clasificación: Uso Interno</w:t>
      </w:r>
    </w:p>
    <w:p>
      <w:pPr>
        <w:pStyle w:val="Heading1"/>
        <w:pageBreakBefore/>
        <w:spacing w:after="240"/>
      </w:pPr>
      <w:r>
        <w:rPr>
          <w:b/>
          <w:bCs/>
        </w:rPr>
        <w:t xml:space="preserve">1. Control del Documento y Control de Cambios</w:t>
      </w:r>
    </w:p>
    <w:p>
      <w:pPr>
        <w:spacing w:after="200" w:line="276"/>
      </w:pPr>
      <w:r>
        <w:t xml:space="preserve">Este documento define la arquitectura empresarial target de la organización: el estado objetivo hacia el cual deben converger las iniciativas de tecnología. Su vigencia, distribución y modificaciones están sujetas al proceso de gestión documental descrito a continuación.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7000"/>
      </w:tblGrid>
      <w:tr>
        <w:trPr>
          <w:tblHeader/>
        </w:trPr>
        <w:tc>
          <w:tcPr>
            <w:tcW w:type="dxa" w:w="2350"/>
            <w:shd w:fill="1F3864" w:val="clear"/>
            <w:tcMar>
              <w:top w:type="dxa" w:w="80"/>
              <w:left w:type="dxa" w:w="100"/>
              <w:bottom w:type="dxa" w:w="80"/>
              <w:right w:type="dxa" w:w="100"/>
            </w:tcMar>
            <w:vAlign w:val="center"/>
          </w:tcPr>
          <w:p>
            <w:pPr>
              <w:jc w:val="left"/>
            </w:pPr>
            <w:r>
              <w:rPr>
                <w:b/>
                <w:bCs/>
                <w:color w:val="FFFFFF"/>
              </w:rPr>
              <w:t xml:space="preserve">Campo</w:t>
            </w:r>
          </w:p>
        </w:tc>
        <w:tc>
          <w:tcPr>
            <w:tcW w:type="dxa" w:w="7000"/>
            <w:shd w:fill="1F3864" w:val="clear"/>
            <w:tcMar>
              <w:top w:type="dxa" w:w="80"/>
              <w:left w:type="dxa" w:w="100"/>
              <w:bottom w:type="dxa" w:w="80"/>
              <w:right w:type="dxa" w:w="100"/>
            </w:tcMar>
            <w:vAlign w:val="center"/>
          </w:tcPr>
          <w:p>
            <w:pPr>
              <w:jc w:val="left"/>
            </w:pPr>
            <w:r>
              <w:rPr>
                <w:b/>
                <w:bCs/>
                <w:color w:val="FFFFFF"/>
              </w:rPr>
              <w:t xml:space="preserve">Detalle</w:t>
            </w:r>
          </w:p>
        </w:tc>
      </w:tr>
      <w:tr>
        <w:tc>
          <w:tcPr>
            <w:tcW w:type="dxa" w:w="2350"/>
            <w:shd w:fill="F2F2F2" w:val="clear"/>
            <w:tcMar>
              <w:top w:type="dxa" w:w="80"/>
              <w:left w:type="dxa" w:w="100"/>
              <w:bottom w:type="dxa" w:w="80"/>
              <w:right w:type="dxa" w:w="100"/>
            </w:tcMar>
            <w:vAlign w:val="center"/>
          </w:tcPr>
          <w:p>
            <w:pPr>
              <w:jc w:val="left"/>
            </w:pPr>
            <w:r>
              <w:rPr>
                <w:b/>
                <w:bCs/>
                <w:color w:val="000000"/>
              </w:rPr>
              <w:t xml:space="preserve">Código del Documento</w:t>
            </w:r>
          </w:p>
        </w:tc>
        <w:tc>
          <w:tcPr>
            <w:tcW w:type="dxa" w:w="7000"/>
            <w:tcMar>
              <w:top w:type="dxa" w:w="80"/>
              <w:left w:type="dxa" w:w="100"/>
              <w:bottom w:type="dxa" w:w="80"/>
              <w:right w:type="dxa" w:w="100"/>
            </w:tcMar>
            <w:vAlign w:val="center"/>
          </w:tcPr>
          <w:p>
            <w:pPr>
              <w:jc w:val="left"/>
            </w:pPr>
            <w:r>
              <w:rPr>
                <w:b w:val="false"/>
                <w:bCs w:val="false"/>
                <w:color w:val="000000"/>
              </w:rPr>
              <w:t xml:space="preserve">ARC-001</w:t>
            </w:r>
          </w:p>
        </w:tc>
      </w:tr>
      <w:tr>
        <w:tc>
          <w:tcPr>
            <w:tcW w:type="dxa" w:w="2350"/>
            <w:shd w:fill="F2F2F2" w:val="clear"/>
            <w:tcMar>
              <w:top w:type="dxa" w:w="80"/>
              <w:left w:type="dxa" w:w="100"/>
              <w:bottom w:type="dxa" w:w="80"/>
              <w:right w:type="dxa" w:w="100"/>
            </w:tcMar>
            <w:vAlign w:val="center"/>
          </w:tcPr>
          <w:p>
            <w:pPr>
              <w:jc w:val="left"/>
            </w:pPr>
            <w:r>
              <w:rPr>
                <w:b/>
                <w:bCs/>
                <w:color w:val="000000"/>
              </w:rPr>
              <w:t xml:space="preserve">Clasificación</w:t>
            </w:r>
          </w:p>
        </w:tc>
        <w:tc>
          <w:tcPr>
            <w:tcW w:type="dxa" w:w="7000"/>
            <w:tcMar>
              <w:top w:type="dxa" w:w="80"/>
              <w:left w:type="dxa" w:w="100"/>
              <w:bottom w:type="dxa" w:w="80"/>
              <w:right w:type="dxa" w:w="100"/>
            </w:tcMar>
            <w:vAlign w:val="center"/>
          </w:tcPr>
          <w:p>
            <w:pPr>
              <w:jc w:val="left"/>
            </w:pPr>
            <w:r>
              <w:rPr>
                <w:b w:val="false"/>
                <w:bCs w:val="false"/>
                <w:color w:val="000000"/>
              </w:rPr>
              <w:t xml:space="preserve">Uso Interno — Distribución restringida a Arquitectura, Ingeniería, Plataforma y Seguridad.</w:t>
            </w:r>
          </w:p>
        </w:tc>
      </w:tr>
      <w:tr>
        <w:tc>
          <w:tcPr>
            <w:tcW w:type="dxa" w:w="2350"/>
            <w:shd w:fill="F2F2F2" w:val="clear"/>
            <w:tcMar>
              <w:top w:type="dxa" w:w="80"/>
              <w:left w:type="dxa" w:w="100"/>
              <w:bottom w:type="dxa" w:w="80"/>
              <w:right w:type="dxa" w:w="100"/>
            </w:tcMar>
            <w:vAlign w:val="center"/>
          </w:tcPr>
          <w:p>
            <w:pPr>
              <w:jc w:val="left"/>
            </w:pPr>
            <w:r>
              <w:rPr>
                <w:b/>
                <w:bCs/>
                <w:color w:val="000000"/>
              </w:rPr>
              <w:t xml:space="preserve">Propietario del Documento</w:t>
            </w:r>
          </w:p>
        </w:tc>
        <w:tc>
          <w:tcPr>
            <w:tcW w:type="dxa" w:w="7000"/>
            <w:tcMar>
              <w:top w:type="dxa" w:w="80"/>
              <w:left w:type="dxa" w:w="100"/>
              <w:bottom w:type="dxa" w:w="80"/>
              <w:right w:type="dxa" w:w="100"/>
            </w:tcMar>
            <w:vAlign w:val="center"/>
          </w:tcPr>
          <w:p>
            <w:pPr>
              <w:jc w:val="left"/>
            </w:pPr>
            <w:r>
              <w:rPr>
                <w:b w:val="false"/>
                <w:bCs w:val="false"/>
                <w:color w:val="000000"/>
              </w:rPr>
              <w:t xml:space="preserve">Comité de Arquitectura Empresarial</w:t>
            </w:r>
          </w:p>
        </w:tc>
      </w:tr>
      <w:tr>
        <w:tc>
          <w:tcPr>
            <w:tcW w:type="dxa" w:w="2350"/>
            <w:shd w:fill="F2F2F2" w:val="clear"/>
            <w:tcMar>
              <w:top w:type="dxa" w:w="80"/>
              <w:left w:type="dxa" w:w="100"/>
              <w:bottom w:type="dxa" w:w="80"/>
              <w:right w:type="dxa" w:w="100"/>
            </w:tcMar>
            <w:vAlign w:val="center"/>
          </w:tcPr>
          <w:p>
            <w:pPr>
              <w:jc w:val="left"/>
            </w:pPr>
            <w:r>
              <w:rPr>
                <w:b/>
                <w:bCs/>
                <w:color w:val="000000"/>
              </w:rPr>
              <w:t xml:space="preserve">Frecuencia de Revisión</w:t>
            </w:r>
          </w:p>
        </w:tc>
        <w:tc>
          <w:tcPr>
            <w:tcW w:type="dxa" w:w="7000"/>
            <w:tcMar>
              <w:top w:type="dxa" w:w="80"/>
              <w:left w:type="dxa" w:w="100"/>
              <w:bottom w:type="dxa" w:w="80"/>
              <w:right w:type="dxa" w:w="100"/>
            </w:tcMar>
            <w:vAlign w:val="center"/>
          </w:tcPr>
          <w:p>
            <w:pPr>
              <w:jc w:val="left"/>
            </w:pPr>
            <w:r>
              <w:rPr>
                <w:b w:val="false"/>
                <w:bCs w:val="false"/>
                <w:color w:val="000000"/>
              </w:rPr>
              <w:t xml:space="preserve">Semestral, o ante cambios significativos de plataforma cloud, CI/CD o del portafolio tecnológico.</w:t>
            </w:r>
          </w:p>
        </w:tc>
      </w:tr>
      <w:tr>
        <w:tc>
          <w:tcPr>
            <w:tcW w:type="dxa" w:w="2350"/>
            <w:shd w:fill="F2F2F2" w:val="clear"/>
            <w:tcMar>
              <w:top w:type="dxa" w:w="80"/>
              <w:left w:type="dxa" w:w="100"/>
              <w:bottom w:type="dxa" w:w="80"/>
              <w:right w:type="dxa" w:w="100"/>
            </w:tcMar>
            <w:vAlign w:val="center"/>
          </w:tcPr>
          <w:p>
            <w:pPr>
              <w:jc w:val="left"/>
            </w:pPr>
            <w:r>
              <w:rPr>
                <w:b/>
                <w:bCs/>
                <w:color w:val="000000"/>
              </w:rPr>
              <w:t xml:space="preserve">Próxima Revisión Programada</w:t>
            </w:r>
          </w:p>
        </w:tc>
        <w:tc>
          <w:tcPr>
            <w:tcW w:type="dxa" w:w="7000"/>
            <w:tcMar>
              <w:top w:type="dxa" w:w="80"/>
              <w:left w:type="dxa" w:w="100"/>
              <w:bottom w:type="dxa" w:w="80"/>
              <w:right w:type="dxa" w:w="100"/>
            </w:tcMar>
            <w:vAlign w:val="center"/>
          </w:tcPr>
          <w:p>
            <w:pPr>
              <w:jc w:val="left"/>
            </w:pPr>
            <w:r>
              <w:rPr>
                <w:b w:val="false"/>
                <w:bCs w:val="false"/>
                <w:color w:val="000000"/>
              </w:rPr>
              <w:t xml:space="preserve">2027-01-22</w:t>
            </w:r>
          </w:p>
        </w:tc>
      </w:tr>
    </w:tbl>
    <w:p>
      <w:pPr>
        <w:spacing w:after="150" w:before="300"/>
      </w:pPr>
      <w:r>
        <w:rPr>
          <w:b/>
          <w:bCs/>
        </w:rPr>
        <w:t xml:space="preserve">Historial de Versiones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550"/>
        <w:gridCol w:w="4000"/>
      </w:tblGrid>
      <w:tr>
        <w:trPr>
          <w:tblHeader/>
        </w:trPr>
        <w:tc>
          <w:tcPr>
            <w:tcW w:type="dxa" w:w="1400"/>
            <w:shd w:fill="1F3864" w:val="clear"/>
            <w:tcMar>
              <w:top w:type="dxa" w:w="80"/>
              <w:left w:type="dxa" w:w="100"/>
              <w:bottom w:type="dxa" w:w="80"/>
              <w:right w:type="dxa" w:w="100"/>
            </w:tcMar>
            <w:vAlign w:val="center"/>
          </w:tcPr>
          <w:p>
            <w:pPr>
              <w:jc w:val="left"/>
            </w:pPr>
            <w:r>
              <w:rPr>
                <w:b/>
                <w:bCs/>
                <w:color w:val="FFFFFF"/>
              </w:rPr>
              <w:t xml:space="preserve">Versión</w:t>
            </w:r>
          </w:p>
        </w:tc>
        <w:tc>
          <w:tcPr>
            <w:tcW w:type="dxa" w:w="1400"/>
            <w:shd w:fill="1F3864" w:val="clear"/>
            <w:tcMar>
              <w:top w:type="dxa" w:w="80"/>
              <w:left w:type="dxa" w:w="100"/>
              <w:bottom w:type="dxa" w:w="80"/>
              <w:right w:type="dxa" w:w="100"/>
            </w:tcMar>
            <w:vAlign w:val="center"/>
          </w:tcPr>
          <w:p>
            <w:pPr>
              <w:jc w:val="left"/>
            </w:pPr>
            <w:r>
              <w:rPr>
                <w:b/>
                <w:bCs/>
                <w:color w:val="FFFFFF"/>
              </w:rPr>
              <w:t xml:space="preserve">Fecha</w:t>
            </w:r>
          </w:p>
        </w:tc>
        <w:tc>
          <w:tcPr>
            <w:tcW w:type="dxa" w:w="2550"/>
            <w:shd w:fill="1F3864" w:val="clear"/>
            <w:tcMar>
              <w:top w:type="dxa" w:w="80"/>
              <w:left w:type="dxa" w:w="100"/>
              <w:bottom w:type="dxa" w:w="80"/>
              <w:right w:type="dxa" w:w="100"/>
            </w:tcMar>
            <w:vAlign w:val="center"/>
          </w:tcPr>
          <w:p>
            <w:pPr>
              <w:jc w:val="left"/>
            </w:pPr>
            <w:r>
              <w:rPr>
                <w:b/>
                <w:bCs/>
                <w:color w:val="FFFFFF"/>
              </w:rPr>
              <w:t xml:space="preserve">Autor / Responsable</w:t>
            </w:r>
          </w:p>
        </w:tc>
        <w:tc>
          <w:tcPr>
            <w:tcW w:type="dxa" w:w="4000"/>
            <w:shd w:fill="1F3864" w:val="clear"/>
            <w:tcMar>
              <w:top w:type="dxa" w:w="80"/>
              <w:left w:type="dxa" w:w="100"/>
              <w:bottom w:type="dxa" w:w="80"/>
              <w:right w:type="dxa" w:w="100"/>
            </w:tcMar>
            <w:vAlign w:val="center"/>
          </w:tcPr>
          <w:p>
            <w:pPr>
              <w:jc w:val="left"/>
            </w:pPr>
            <w:r>
              <w:rPr>
                <w:b/>
                <w:bCs/>
                <w:color w:val="FFFFFF"/>
              </w:rPr>
              <w:t xml:space="preserve">Descripción del Cambio</w:t>
            </w:r>
          </w:p>
        </w:tc>
      </w:tr>
      <w:tr>
        <w:tc>
          <w:tcPr>
            <w:tcW w:type="dxa" w:w="1400"/>
            <w:tcMar>
              <w:top w:type="dxa" w:w="80"/>
              <w:left w:type="dxa" w:w="100"/>
              <w:bottom w:type="dxa" w:w="80"/>
              <w:right w:type="dxa" w:w="100"/>
            </w:tcMar>
            <w:vAlign w:val="center"/>
          </w:tcPr>
          <w:p>
            <w:pPr>
              <w:jc w:val="left"/>
            </w:pPr>
            <w:r>
              <w:rPr>
                <w:b w:val="false"/>
                <w:bCs w:val="false"/>
                <w:color w:val="000000"/>
              </w:rPr>
              <w:t xml:space="preserve">0.1</w:t>
            </w:r>
          </w:p>
        </w:tc>
        <w:tc>
          <w:tcPr>
            <w:tcW w:type="dxa" w:w="1400"/>
            <w:tcMar>
              <w:top w:type="dxa" w:w="80"/>
              <w:left w:type="dxa" w:w="100"/>
              <w:bottom w:type="dxa" w:w="80"/>
              <w:right w:type="dxa" w:w="100"/>
            </w:tcMar>
            <w:vAlign w:val="center"/>
          </w:tcPr>
          <w:p>
            <w:pPr>
              <w:jc w:val="left"/>
            </w:pPr>
            <w:r>
              <w:rPr>
                <w:b w:val="false"/>
                <w:bCs w:val="false"/>
                <w:color w:val="000000"/>
              </w:rPr>
              <w:t xml:space="preserve">2026-05-11</w:t>
            </w:r>
          </w:p>
        </w:tc>
        <w:tc>
          <w:tcPr>
            <w:tcW w:type="dxa" w:w="2550"/>
            <w:tcMar>
              <w:top w:type="dxa" w:w="80"/>
              <w:left w:type="dxa" w:w="100"/>
              <w:bottom w:type="dxa" w:w="80"/>
              <w:right w:type="dxa" w:w="100"/>
            </w:tcMar>
            <w:vAlign w:val="center"/>
          </w:tcPr>
          <w:p>
            <w:pPr>
              <w:jc w:val="left"/>
            </w:pPr>
            <w:r>
              <w:rPr>
                <w:b w:val="false"/>
                <w:bCs w:val="false"/>
                <w:color w:val="000000"/>
              </w:rPr>
              <w:t xml:space="preserve">Oficina de Arquitectura Empresarial</w:t>
            </w:r>
          </w:p>
        </w:tc>
        <w:tc>
          <w:tcPr>
            <w:tcW w:type="dxa" w:w="4000"/>
            <w:tcMar>
              <w:top w:type="dxa" w:w="80"/>
              <w:left w:type="dxa" w:w="100"/>
              <w:bottom w:type="dxa" w:w="80"/>
              <w:right w:type="dxa" w:w="100"/>
            </w:tcMar>
            <w:vAlign w:val="center"/>
          </w:tcPr>
          <w:p>
            <w:pPr>
              <w:jc w:val="left"/>
            </w:pPr>
            <w:r>
              <w:rPr>
                <w:b w:val="false"/>
                <w:bCs w:val="false"/>
                <w:color w:val="000000"/>
              </w:rPr>
              <w:t xml:space="preserve">Borrador inicial de la arquitectura target, alineado a los principios corporativos de nube.</w:t>
            </w:r>
          </w:p>
        </w:tc>
      </w:tr>
      <w:tr>
        <w:tc>
          <w:tcPr>
            <w:tcW w:type="dxa" w:w="1400"/>
            <w:tcMar>
              <w:top w:type="dxa" w:w="80"/>
              <w:left w:type="dxa" w:w="100"/>
              <w:bottom w:type="dxa" w:w="80"/>
              <w:right w:type="dxa" w:w="100"/>
            </w:tcMar>
            <w:vAlign w:val="center"/>
          </w:tcPr>
          <w:p>
            <w:pPr>
              <w:jc w:val="left"/>
            </w:pPr>
            <w:r>
              <w:rPr>
                <w:b w:val="false"/>
                <w:bCs w:val="false"/>
                <w:color w:val="000000"/>
              </w:rPr>
              <w:t xml:space="preserve">0.6</w:t>
            </w:r>
          </w:p>
        </w:tc>
        <w:tc>
          <w:tcPr>
            <w:tcW w:type="dxa" w:w="1400"/>
            <w:tcMar>
              <w:top w:type="dxa" w:w="80"/>
              <w:left w:type="dxa" w:w="100"/>
              <w:bottom w:type="dxa" w:w="80"/>
              <w:right w:type="dxa" w:w="100"/>
            </w:tcMar>
            <w:vAlign w:val="center"/>
          </w:tcPr>
          <w:p>
            <w:pPr>
              <w:jc w:val="left"/>
            </w:pPr>
            <w:r>
              <w:rPr>
                <w:b w:val="false"/>
                <w:bCs w:val="false"/>
                <w:color w:val="000000"/>
              </w:rPr>
              <w:t xml:space="preserve">2026-06-09</w:t>
            </w:r>
          </w:p>
        </w:tc>
        <w:tc>
          <w:tcPr>
            <w:tcW w:type="dxa" w:w="2550"/>
            <w:tcMar>
              <w:top w:type="dxa" w:w="80"/>
              <w:left w:type="dxa" w:w="100"/>
              <w:bottom w:type="dxa" w:w="80"/>
              <w:right w:type="dxa" w:w="100"/>
            </w:tcMar>
            <w:vAlign w:val="center"/>
          </w:tcPr>
          <w:p>
            <w:pPr>
              <w:jc w:val="left"/>
            </w:pPr>
            <w:r>
              <w:rPr>
                <w:b w:val="false"/>
                <w:bCs w:val="false"/>
                <w:color w:val="000000"/>
              </w:rPr>
              <w:t xml:space="preserve">Comité de Arquitectura</w:t>
            </w:r>
          </w:p>
        </w:tc>
        <w:tc>
          <w:tcPr>
            <w:tcW w:type="dxa" w:w="4000"/>
            <w:tcMar>
              <w:top w:type="dxa" w:w="80"/>
              <w:left w:type="dxa" w:w="100"/>
              <w:bottom w:type="dxa" w:w="80"/>
              <w:right w:type="dxa" w:w="100"/>
            </w:tcMar>
            <w:vAlign w:val="center"/>
          </w:tcPr>
          <w:p>
            <w:pPr>
              <w:jc w:val="left"/>
            </w:pPr>
            <w:r>
              <w:rPr>
                <w:b w:val="false"/>
                <w:bCs w:val="false"/>
                <w:color w:val="000000"/>
              </w:rPr>
              <w:t xml:space="preserve">Incorporación del ecosistema tecnológico objetivo y la matriz de obsolescencia.</w:t>
            </w:r>
          </w:p>
        </w:tc>
      </w:tr>
      <w:tr>
        <w:tc>
          <w:tcPr>
            <w:tcW w:type="dxa" w:w="1400"/>
            <w:tcMar>
              <w:top w:type="dxa" w:w="80"/>
              <w:left w:type="dxa" w:w="100"/>
              <w:bottom w:type="dxa" w:w="80"/>
              <w:right w:type="dxa" w:w="100"/>
            </w:tcMar>
            <w:vAlign w:val="center"/>
          </w:tcPr>
          <w:p>
            <w:pPr>
              <w:jc w:val="left"/>
            </w:pPr>
            <w:r>
              <w:rPr>
                <w:b w:val="false"/>
                <w:bCs w:val="false"/>
                <w:color w:val="000000"/>
              </w:rPr>
              <w:t xml:space="preserve">1.0</w:t>
            </w:r>
          </w:p>
        </w:tc>
        <w:tc>
          <w:tcPr>
            <w:tcW w:type="dxa" w:w="1400"/>
            <w:tcMar>
              <w:top w:type="dxa" w:w="80"/>
              <w:left w:type="dxa" w:w="100"/>
              <w:bottom w:type="dxa" w:w="80"/>
              <w:right w:type="dxa" w:w="100"/>
            </w:tcMar>
            <w:vAlign w:val="center"/>
          </w:tcPr>
          <w:p>
            <w:pPr>
              <w:jc w:val="left"/>
            </w:pPr>
            <w:r>
              <w:rPr>
                <w:b w:val="false"/>
                <w:bCs w:val="false"/>
                <w:color w:val="000000"/>
              </w:rPr>
              <w:t xml:space="preserve">2026-07-22</w:t>
            </w:r>
          </w:p>
        </w:tc>
        <w:tc>
          <w:tcPr>
            <w:tcW w:type="dxa" w:w="2550"/>
            <w:tcMar>
              <w:top w:type="dxa" w:w="80"/>
              <w:left w:type="dxa" w:w="100"/>
              <w:bottom w:type="dxa" w:w="80"/>
              <w:right w:type="dxa" w:w="100"/>
            </w:tcMar>
            <w:vAlign w:val="center"/>
          </w:tcPr>
          <w:p>
            <w:pPr>
              <w:jc w:val="left"/>
            </w:pPr>
            <w:r>
              <w:rPr>
                <w:b w:val="false"/>
                <w:bCs w:val="false"/>
                <w:color w:val="000000"/>
              </w:rPr>
              <w:t xml:space="preserve">CTO / Chief Architect</w:t>
            </w:r>
          </w:p>
        </w:tc>
        <w:tc>
          <w:tcPr>
            <w:tcW w:type="dxa" w:w="4000"/>
            <w:tcMar>
              <w:top w:type="dxa" w:w="80"/>
              <w:left w:type="dxa" w:w="100"/>
              <w:bottom w:type="dxa" w:w="80"/>
              <w:right w:type="dxa" w:w="100"/>
            </w:tcMar>
            <w:vAlign w:val="center"/>
          </w:tcPr>
          <w:p>
            <w:pPr>
              <w:jc w:val="left"/>
            </w:pPr>
            <w:r>
              <w:rPr>
                <w:b w:val="false"/>
                <w:bCs w:val="false"/>
                <w:color w:val="000000"/>
              </w:rPr>
              <w:t xml:space="preserve">Aprobación formal. Versión vigente publicada en el repositorio corporativo de arquitectura.</w:t>
            </w:r>
          </w:p>
        </w:tc>
      </w:tr>
    </w:tbl>
    <w:p>
      <w:pPr>
        <w:pStyle w:val="Heading1"/>
        <w:pageBreakBefore/>
        <w:spacing w:after="240" w:before="480"/>
      </w:pPr>
      <w:r>
        <w:rPr>
          <w:b/>
          <w:bCs/>
        </w:rPr>
        <w:t xml:space="preserve">2. Visión General de la Arquitectura Target</w:t>
      </w:r>
    </w:p>
    <w:p>
      <w:pPr>
        <w:spacing w:after="200" w:line="276"/>
      </w:pPr>
      <w:r>
        <w:t xml:space="preserve">Este capítulo presenta la visión objetivo de arquitectura, los objetivos estratégicos que la justifican y la organización en capas que estructura toda solución construida bajo este modelo.</w:t>
      </w:r>
    </w:p>
    <w:p>
      <w:pPr>
        <w:pStyle w:val="Heading2"/>
        <w:spacing w:after="180" w:before="360"/>
      </w:pPr>
      <w:r>
        <w:rPr>
          <w:b/>
          <w:bCs/>
        </w:rPr>
        <w:t xml:space="preserve">2.1. Objetivos Estratégicos de la Arquitectura</w:t>
      </w:r>
    </w:p>
    <w:p>
      <w:pPr>
        <w:spacing w:after="200" w:line="276"/>
      </w:pPr>
      <w:r>
        <w:t xml:space="preserve">La arquitectura target responde a un conjunto de objetivos estratégicos definidos junto con las áreas de negocio y tecnología, orientados a habilitar crecimiento sostenible sin comprometer estabilidad ni seguridad:</w:t>
      </w:r>
    </w:p>
    <w:p>
      <w:pPr>
        <w:pStyle w:val="ListParagraph"/>
        <w:numPr>
          <w:ilvl w:val="0"/>
          <w:numId w:val="2"/>
        </w:numPr>
        <w:spacing w:after="120"/>
      </w:pPr>
      <w:r>
        <w:rPr>
          <w:b/>
          <w:bCs/>
        </w:rPr>
        <w:t xml:space="preserve">Velocidad de entrega: </w:t>
      </w:r>
      <w:r>
        <w:t xml:space="preserve">Reducir el tiempo de entrega de nuevas capacidades de negocio mediante desacoplamiento y despliegue independiente de componentes.</w:t>
      </w:r>
    </w:p>
    <w:p>
      <w:pPr>
        <w:pStyle w:val="ListParagraph"/>
        <w:numPr>
          <w:ilvl w:val="0"/>
          <w:numId w:val="2"/>
        </w:numPr>
        <w:spacing w:after="120"/>
      </w:pPr>
      <w:r>
        <w:rPr>
          <w:b/>
          <w:bCs/>
        </w:rPr>
        <w:t xml:space="preserve">Resiliencia: </w:t>
      </w:r>
      <w:r>
        <w:t xml:space="preserve">Garantizar disponibilidad objetivo de 99.9 % para servicios críticos de negocio mediante diseño resiliente y redundante.</w:t>
      </w:r>
    </w:p>
    <w:p>
      <w:pPr>
        <w:pStyle w:val="ListParagraph"/>
        <w:numPr>
          <w:ilvl w:val="0"/>
          <w:numId w:val="2"/>
        </w:numPr>
        <w:spacing w:after="120"/>
      </w:pPr>
      <w:r>
        <w:rPr>
          <w:b/>
          <w:bCs/>
        </w:rPr>
        <w:t xml:space="preserve">Escalabilidad: </w:t>
      </w:r>
      <w:r>
        <w:t xml:space="preserve">Permitir escalado elástico ante variaciones de demanda sin rediseño estructural.</w:t>
      </w:r>
    </w:p>
    <w:p>
      <w:pPr>
        <w:pStyle w:val="ListParagraph"/>
        <w:numPr>
          <w:ilvl w:val="0"/>
          <w:numId w:val="2"/>
        </w:numPr>
        <w:spacing w:after="120"/>
      </w:pPr>
      <w:r>
        <w:rPr>
          <w:b/>
          <w:bCs/>
        </w:rPr>
        <w:t xml:space="preserve">Eficiencia tecnológica: </w:t>
      </w:r>
      <w:r>
        <w:t xml:space="preserve">Estandarizar el ecosistema tecnológico para reducir la deuda técnica y el costo total de propiedad.</w:t>
      </w:r>
    </w:p>
    <w:p>
      <w:pPr>
        <w:pStyle w:val="ListParagraph"/>
        <w:numPr>
          <w:ilvl w:val="0"/>
          <w:numId w:val="2"/>
        </w:numPr>
        <w:spacing w:after="120"/>
      </w:pPr>
      <w:r>
        <w:rPr>
          <w:b/>
          <w:bCs/>
        </w:rPr>
        <w:t xml:space="preserve">Seguridad por diseño: </w:t>
      </w:r>
      <w:r>
        <w:t xml:space="preserve">Incorporar controles de seguridad y cumplimiento normativo desde el diseño de cada componente.</w:t>
      </w:r>
    </w:p>
    <w:p>
      <w:pPr>
        <w:pStyle w:val="ListParagraph"/>
        <w:numPr>
          <w:ilvl w:val="0"/>
          <w:numId w:val="2"/>
        </w:numPr>
        <w:spacing w:after="120"/>
      </w:pPr>
      <w:r>
        <w:rPr>
          <w:b/>
          <w:bCs/>
        </w:rPr>
        <w:t xml:space="preserve">Portabilidad: </w:t>
      </w:r>
      <w:r>
        <w:t xml:space="preserve">Evitar dependencia irreversible de un único proveedor cloud mediante el uso de estándares abiertos y contenedores.</w:t>
      </w:r>
    </w:p>
    <w:p>
      <w:pPr>
        <w:pStyle w:val="Heading2"/>
        <w:spacing w:after="180" w:before="360"/>
      </w:pPr>
      <w:r>
        <w:rPr>
          <w:b/>
          <w:bCs/>
        </w:rPr>
        <w:t xml:space="preserve">2.2. Capas de la Solución (Presentación, Negocio, Datos, Integración, Plataforma)</w:t>
      </w:r>
    </w:p>
    <w:p>
      <w:pPr>
        <w:spacing w:after="200" w:line="276"/>
      </w:pPr>
      <w:r>
        <w:t xml:space="preserve">Toda solución construida bajo la arquitectura target se organiza en cinco capas con responsabilidades claramente delimitadas, que se comunican exclusivamente a través de contratos explícitos (APIs, eventos):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4200"/>
        <w:gridCol w:w="3500"/>
      </w:tblGrid>
      <w:tr>
        <w:trPr>
          <w:tblHeader/>
        </w:trPr>
        <w:tc>
          <w:tcPr>
            <w:tcW w:type="dxa" w:w="1650"/>
            <w:shd w:fill="1F3864" w:val="clear"/>
            <w:tcMar>
              <w:top w:type="dxa" w:w="80"/>
              <w:left w:type="dxa" w:w="100"/>
              <w:bottom w:type="dxa" w:w="80"/>
              <w:right w:type="dxa" w:w="100"/>
            </w:tcMar>
            <w:vAlign w:val="center"/>
          </w:tcPr>
          <w:p>
            <w:pPr>
              <w:jc w:val="left"/>
            </w:pPr>
            <w:r>
              <w:rPr>
                <w:b/>
                <w:bCs/>
                <w:color w:val="FFFFFF"/>
              </w:rPr>
              <w:t xml:space="preserve">Capa</w:t>
            </w:r>
          </w:p>
        </w:tc>
        <w:tc>
          <w:tcPr>
            <w:tcW w:type="dxa" w:w="4200"/>
            <w:shd w:fill="1F3864" w:val="clear"/>
            <w:tcMar>
              <w:top w:type="dxa" w:w="80"/>
              <w:left w:type="dxa" w:w="100"/>
              <w:bottom w:type="dxa" w:w="80"/>
              <w:right w:type="dxa" w:w="100"/>
            </w:tcMar>
            <w:vAlign w:val="center"/>
          </w:tcPr>
          <w:p>
            <w:pPr>
              <w:jc w:val="left"/>
            </w:pPr>
            <w:r>
              <w:rPr>
                <w:b/>
                <w:bCs/>
                <w:color w:val="FFFFFF"/>
              </w:rPr>
              <w:t xml:space="preserve">Responsabilidad</w:t>
            </w:r>
          </w:p>
        </w:tc>
        <w:tc>
          <w:tcPr>
            <w:tcW w:type="dxa" w:w="3500"/>
            <w:shd w:fill="1F3864" w:val="clear"/>
            <w:tcMar>
              <w:top w:type="dxa" w:w="80"/>
              <w:left w:type="dxa" w:w="100"/>
              <w:bottom w:type="dxa" w:w="80"/>
              <w:right w:type="dxa" w:w="100"/>
            </w:tcMar>
            <w:vAlign w:val="center"/>
          </w:tcPr>
          <w:p>
            <w:pPr>
              <w:jc w:val="left"/>
            </w:pPr>
            <w:r>
              <w:rPr>
                <w:b/>
                <w:bCs/>
                <w:color w:val="FFFFFF"/>
              </w:rPr>
              <w:t xml:space="preserve">Tecnologías de Referencia</w:t>
            </w:r>
          </w:p>
        </w:tc>
      </w:tr>
      <w:tr>
        <w:tc>
          <w:tcPr>
            <w:tcW w:type="dxa" w:w="1650"/>
            <w:shd w:fill="FFFFFF" w:val="clear"/>
            <w:tcMar>
              <w:top w:type="dxa" w:w="80"/>
              <w:left w:type="dxa" w:w="100"/>
              <w:bottom w:type="dxa" w:w="80"/>
              <w:right w:type="dxa" w:w="100"/>
            </w:tcMar>
            <w:vAlign w:val="center"/>
          </w:tcPr>
          <w:p>
            <w:pPr>
              <w:jc w:val="left"/>
            </w:pPr>
            <w:r>
              <w:rPr>
                <w:b w:val="false"/>
                <w:bCs w:val="false"/>
                <w:color w:val="000000"/>
              </w:rPr>
              <w:t xml:space="preserve">Presentación</w:t>
            </w:r>
          </w:p>
        </w:tc>
        <w:tc>
          <w:tcPr>
            <w:tcW w:type="dxa" w:w="4200"/>
            <w:shd w:fill="FFFFFF" w:val="clear"/>
            <w:tcMar>
              <w:top w:type="dxa" w:w="80"/>
              <w:left w:type="dxa" w:w="100"/>
              <w:bottom w:type="dxa" w:w="80"/>
              <w:right w:type="dxa" w:w="100"/>
            </w:tcMar>
            <w:vAlign w:val="center"/>
          </w:tcPr>
          <w:p>
            <w:pPr>
              <w:jc w:val="left"/>
            </w:pPr>
            <w:r>
              <w:rPr>
                <w:b w:val="false"/>
                <w:bCs w:val="false"/>
                <w:color w:val="000000"/>
              </w:rPr>
              <w:t xml:space="preserve">Experiencia de usuario, renderizado de interfaces web y móviles, gestión de estado de cliente.</w:t>
            </w:r>
          </w:p>
        </w:tc>
        <w:tc>
          <w:tcPr>
            <w:tcW w:type="dxa" w:w="3500"/>
            <w:shd w:fill="FFFFFF" w:val="clear"/>
            <w:tcMar>
              <w:top w:type="dxa" w:w="80"/>
              <w:left w:type="dxa" w:w="100"/>
              <w:bottom w:type="dxa" w:w="80"/>
              <w:right w:type="dxa" w:w="100"/>
            </w:tcMar>
            <w:vAlign w:val="center"/>
          </w:tcPr>
          <w:p>
            <w:pPr>
              <w:jc w:val="left"/>
            </w:pPr>
            <w:r>
              <w:rPr>
                <w:b w:val="false"/>
                <w:bCs w:val="false"/>
                <w:color w:val="000000"/>
              </w:rPr>
              <w:t xml:space="preserve">React, React Native, Design System corporativo.</w:t>
            </w:r>
          </w:p>
        </w:tc>
      </w:tr>
      <w:tr>
        <w:tc>
          <w:tcPr>
            <w:tcW w:type="dxa" w:w="1650"/>
            <w:shd w:fill="F2F2F2" w:val="clear"/>
            <w:tcMar>
              <w:top w:type="dxa" w:w="80"/>
              <w:left w:type="dxa" w:w="100"/>
              <w:bottom w:type="dxa" w:w="80"/>
              <w:right w:type="dxa" w:w="100"/>
            </w:tcMar>
            <w:vAlign w:val="center"/>
          </w:tcPr>
          <w:p>
            <w:pPr>
              <w:jc w:val="left"/>
            </w:pPr>
            <w:r>
              <w:rPr>
                <w:b w:val="false"/>
                <w:bCs w:val="false"/>
                <w:color w:val="000000"/>
              </w:rPr>
              <w:t xml:space="preserve">Negocio</w:t>
            </w:r>
          </w:p>
        </w:tc>
        <w:tc>
          <w:tcPr>
            <w:tcW w:type="dxa" w:w="4200"/>
            <w:shd w:fill="F2F2F2" w:val="clear"/>
            <w:tcMar>
              <w:top w:type="dxa" w:w="80"/>
              <w:left w:type="dxa" w:w="100"/>
              <w:bottom w:type="dxa" w:w="80"/>
              <w:right w:type="dxa" w:w="100"/>
            </w:tcMar>
            <w:vAlign w:val="center"/>
          </w:tcPr>
          <w:p>
            <w:pPr>
              <w:jc w:val="left"/>
            </w:pPr>
            <w:r>
              <w:rPr>
                <w:b w:val="false"/>
                <w:bCs w:val="false"/>
                <w:color w:val="000000"/>
              </w:rPr>
              <w:t xml:space="preserve">Lógica de dominio, orquestación de casos de uso, reglas de negocio encapsuladas en microservicios.</w:t>
            </w:r>
          </w:p>
        </w:tc>
        <w:tc>
          <w:tcPr>
            <w:tcW w:type="dxa" w:w="3500"/>
            <w:shd w:fill="F2F2F2" w:val="clear"/>
            <w:tcMar>
              <w:top w:type="dxa" w:w="80"/>
              <w:left w:type="dxa" w:w="100"/>
              <w:bottom w:type="dxa" w:w="80"/>
              <w:right w:type="dxa" w:w="100"/>
            </w:tcMar>
            <w:vAlign w:val="center"/>
          </w:tcPr>
          <w:p>
            <w:pPr>
              <w:jc w:val="left"/>
            </w:pPr>
            <w:r>
              <w:rPr>
                <w:b w:val="false"/>
                <w:bCs w:val="false"/>
                <w:color w:val="000000"/>
              </w:rPr>
              <w:t xml:space="preserve">Spring Boot (Java), Node.js/NestJS, .NET 8.</w:t>
            </w:r>
          </w:p>
        </w:tc>
      </w:tr>
      <w:tr>
        <w:tc>
          <w:tcPr>
            <w:tcW w:type="dxa" w:w="1650"/>
            <w:shd w:fill="FFFFFF" w:val="clear"/>
            <w:tcMar>
              <w:top w:type="dxa" w:w="80"/>
              <w:left w:type="dxa" w:w="100"/>
              <w:bottom w:type="dxa" w:w="80"/>
              <w:right w:type="dxa" w:w="100"/>
            </w:tcMar>
            <w:vAlign w:val="center"/>
          </w:tcPr>
          <w:p>
            <w:pPr>
              <w:jc w:val="left"/>
            </w:pPr>
            <w:r>
              <w:rPr>
                <w:b w:val="false"/>
                <w:bCs w:val="false"/>
                <w:color w:val="000000"/>
              </w:rPr>
              <w:t xml:space="preserve">Datos</w:t>
            </w:r>
          </w:p>
        </w:tc>
        <w:tc>
          <w:tcPr>
            <w:tcW w:type="dxa" w:w="4200"/>
            <w:shd w:fill="FFFFFF" w:val="clear"/>
            <w:tcMar>
              <w:top w:type="dxa" w:w="80"/>
              <w:left w:type="dxa" w:w="100"/>
              <w:bottom w:type="dxa" w:w="80"/>
              <w:right w:type="dxa" w:w="100"/>
            </w:tcMar>
            <w:vAlign w:val="center"/>
          </w:tcPr>
          <w:p>
            <w:pPr>
              <w:jc w:val="left"/>
            </w:pPr>
            <w:r>
              <w:rPr>
                <w:b w:val="false"/>
                <w:bCs w:val="false"/>
                <w:color w:val="000000"/>
              </w:rPr>
              <w:t xml:space="preserve">Persistencia, consistencia y gobierno del dato dentro de cada dominio.</w:t>
            </w:r>
          </w:p>
        </w:tc>
        <w:tc>
          <w:tcPr>
            <w:tcW w:type="dxa" w:w="3500"/>
            <w:shd w:fill="FFFFFF" w:val="clear"/>
            <w:tcMar>
              <w:top w:type="dxa" w:w="80"/>
              <w:left w:type="dxa" w:w="100"/>
              <w:bottom w:type="dxa" w:w="80"/>
              <w:right w:type="dxa" w:w="100"/>
            </w:tcMar>
            <w:vAlign w:val="center"/>
          </w:tcPr>
          <w:p>
            <w:pPr>
              <w:jc w:val="left"/>
            </w:pPr>
            <w:r>
              <w:rPr>
                <w:b w:val="false"/>
                <w:bCs w:val="false"/>
                <w:color w:val="000000"/>
              </w:rPr>
              <w:t xml:space="preserve">PostgreSQL, MongoDB, Amazon S3 / Azure Blob, Redis.</w:t>
            </w:r>
          </w:p>
        </w:tc>
      </w:tr>
      <w:tr>
        <w:tc>
          <w:tcPr>
            <w:tcW w:type="dxa" w:w="1650"/>
            <w:shd w:fill="F2F2F2" w:val="clear"/>
            <w:tcMar>
              <w:top w:type="dxa" w:w="80"/>
              <w:left w:type="dxa" w:w="100"/>
              <w:bottom w:type="dxa" w:w="80"/>
              <w:right w:type="dxa" w:w="100"/>
            </w:tcMar>
            <w:vAlign w:val="center"/>
          </w:tcPr>
          <w:p>
            <w:pPr>
              <w:jc w:val="left"/>
            </w:pPr>
            <w:r>
              <w:rPr>
                <w:b w:val="false"/>
                <w:bCs w:val="false"/>
                <w:color w:val="000000"/>
              </w:rPr>
              <w:t xml:space="preserve">Integración</w:t>
            </w:r>
          </w:p>
        </w:tc>
        <w:tc>
          <w:tcPr>
            <w:tcW w:type="dxa" w:w="4200"/>
            <w:shd w:fill="F2F2F2" w:val="clear"/>
            <w:tcMar>
              <w:top w:type="dxa" w:w="80"/>
              <w:left w:type="dxa" w:w="100"/>
              <w:bottom w:type="dxa" w:w="80"/>
              <w:right w:type="dxa" w:w="100"/>
            </w:tcMar>
            <w:vAlign w:val="center"/>
          </w:tcPr>
          <w:p>
            <w:pPr>
              <w:jc w:val="left"/>
            </w:pPr>
            <w:r>
              <w:rPr>
                <w:b w:val="false"/>
                <w:bCs w:val="false"/>
                <w:color w:val="000000"/>
              </w:rPr>
              <w:t xml:space="preserve">Comunicación síncrona y asíncrona entre dominios, exposición controlada de capacidades.</w:t>
            </w:r>
          </w:p>
        </w:tc>
        <w:tc>
          <w:tcPr>
            <w:tcW w:type="dxa" w:w="3500"/>
            <w:shd w:fill="F2F2F2" w:val="clear"/>
            <w:tcMar>
              <w:top w:type="dxa" w:w="80"/>
              <w:left w:type="dxa" w:w="100"/>
              <w:bottom w:type="dxa" w:w="80"/>
              <w:right w:type="dxa" w:w="100"/>
            </w:tcMar>
            <w:vAlign w:val="center"/>
          </w:tcPr>
          <w:p>
            <w:pPr>
              <w:jc w:val="left"/>
            </w:pPr>
            <w:r>
              <w:rPr>
                <w:b w:val="false"/>
                <w:bCs w:val="false"/>
                <w:color w:val="000000"/>
              </w:rPr>
              <w:t xml:space="preserve">API Gateway, Kafka, Service Mesh (Istio/Linkerd).</w:t>
            </w:r>
          </w:p>
        </w:tc>
      </w:tr>
      <w:tr>
        <w:tc>
          <w:tcPr>
            <w:tcW w:type="dxa" w:w="1650"/>
            <w:shd w:fill="FFFFFF" w:val="clear"/>
            <w:tcMar>
              <w:top w:type="dxa" w:w="80"/>
              <w:left w:type="dxa" w:w="100"/>
              <w:bottom w:type="dxa" w:w="80"/>
              <w:right w:type="dxa" w:w="100"/>
            </w:tcMar>
            <w:vAlign w:val="center"/>
          </w:tcPr>
          <w:p>
            <w:pPr>
              <w:jc w:val="left"/>
            </w:pPr>
            <w:r>
              <w:rPr>
                <w:b w:val="false"/>
                <w:bCs w:val="false"/>
                <w:color w:val="000000"/>
              </w:rPr>
              <w:t xml:space="preserve">Plataforma</w:t>
            </w:r>
          </w:p>
        </w:tc>
        <w:tc>
          <w:tcPr>
            <w:tcW w:type="dxa" w:w="4200"/>
            <w:shd w:fill="FFFFFF" w:val="clear"/>
            <w:tcMar>
              <w:top w:type="dxa" w:w="80"/>
              <w:left w:type="dxa" w:w="100"/>
              <w:bottom w:type="dxa" w:w="80"/>
              <w:right w:type="dxa" w:w="100"/>
            </w:tcMar>
            <w:vAlign w:val="center"/>
          </w:tcPr>
          <w:p>
            <w:pPr>
              <w:jc w:val="left"/>
            </w:pPr>
            <w:r>
              <w:rPr>
                <w:b w:val="false"/>
                <w:bCs w:val="false"/>
                <w:color w:val="000000"/>
              </w:rPr>
              <w:t xml:space="preserve">Cómputo, orquestación de contenedores, redes y políticas de seguridad de base.</w:t>
            </w:r>
          </w:p>
        </w:tc>
        <w:tc>
          <w:tcPr>
            <w:tcW w:type="dxa" w:w="3500"/>
            <w:shd w:fill="FFFFFF" w:val="clear"/>
            <w:tcMar>
              <w:top w:type="dxa" w:w="80"/>
              <w:left w:type="dxa" w:w="100"/>
              <w:bottom w:type="dxa" w:w="80"/>
              <w:right w:type="dxa" w:w="100"/>
            </w:tcMar>
            <w:vAlign w:val="center"/>
          </w:tcPr>
          <w:p>
            <w:pPr>
              <w:jc w:val="left"/>
            </w:pPr>
            <w:r>
              <w:rPr>
                <w:b w:val="false"/>
                <w:bCs w:val="false"/>
                <w:color w:val="000000"/>
              </w:rPr>
              <w:t xml:space="preserve">Kubernetes (EKS/AKS), Terraform, GitLab Ultimate.</w:t>
            </w:r>
          </w:p>
        </w:tc>
      </w:tr>
    </w:tbl>
    <w:p>
      <w:pPr>
        <w:pStyle w:val="Heading1"/>
        <w:pageBreakBefore/>
        <w:spacing w:after="240" w:before="480"/>
      </w:pPr>
      <w:r>
        <w:rPr>
          <w:b/>
          <w:bCs/>
        </w:rPr>
        <w:t xml:space="preserve">3. Principios de Arquitectura Target</w:t>
      </w:r>
    </w:p>
    <w:p>
      <w:pPr>
        <w:spacing w:after="200" w:line="276"/>
      </w:pPr>
      <w:r>
        <w:t xml:space="preserve">Los siguientes principios son de aplicación obligatoria en el diseño de nuevas soluciones y orientan las decisiones de modernización de las existentes. Cualquier desviación requiere justificación formal y aprobación del Comité de Arquitectura.</w:t>
      </w:r>
    </w:p>
    <w:p>
      <w:pPr>
        <w:pStyle w:val="Heading2"/>
        <w:spacing w:after="180" w:before="360"/>
      </w:pPr>
      <w:r>
        <w:rPr>
          <w:b/>
          <w:bCs/>
        </w:rPr>
        <w:t xml:space="preserve">3.1. Desacoplamiento y Microservicios</w:t>
      </w:r>
    </w:p>
    <w:p>
      <w:pPr>
        <w:spacing w:after="200" w:line="276"/>
      </w:pPr>
      <w:r>
        <w:t xml:space="preserve">Los sistemas se descomponen en microservicios organizados por dominio de negocio (Domain-Driven Design), cada uno con su propio ciclo de vida, base de datos y despliegue independiente.</w:t>
      </w:r>
    </w:p>
    <w:p>
      <w:pPr>
        <w:pStyle w:val="ListParagraph"/>
        <w:numPr>
          <w:ilvl w:val="0"/>
          <w:numId w:val="2"/>
        </w:numPr>
        <w:spacing w:after="120"/>
      </w:pPr>
      <w:r>
        <w:t xml:space="preserve">Cada microservicio es propiedad de un único equipo, responsable de su diseño, construcción y operación.</w:t>
      </w:r>
    </w:p>
    <w:p>
      <w:pPr>
        <w:pStyle w:val="ListParagraph"/>
        <w:numPr>
          <w:ilvl w:val="0"/>
          <w:numId w:val="2"/>
        </w:numPr>
        <w:spacing w:after="120"/>
      </w:pPr>
      <w:r>
        <w:t xml:space="preserve">La comunicación entre dominios se realiza exclusivamente mediante contratos versionados (APIs o eventos), nunca por acceso directo a la base de datos de otro dominio.</w:t>
      </w:r>
    </w:p>
    <w:p>
      <w:pPr>
        <w:pStyle w:val="ListParagraph"/>
        <w:numPr>
          <w:ilvl w:val="0"/>
          <w:numId w:val="2"/>
        </w:numPr>
        <w:spacing w:after="120"/>
      </w:pPr>
      <w:r>
        <w:t xml:space="preserve">El tamaño de un microservicio se determina por cohesión de negocio, no por criterios técnicos arbitrarios.</w:t>
      </w:r>
    </w:p>
    <w:p>
      <w:pPr>
        <w:pStyle w:val="Heading2"/>
        <w:spacing w:after="180" w:before="360"/>
      </w:pPr>
      <w:r>
        <w:rPr>
          <w:b/>
          <w:bCs/>
        </w:rPr>
        <w:t xml:space="preserve">3.2. Infraestructura como Código (IaC)</w:t>
      </w:r>
    </w:p>
    <w:p>
      <w:pPr>
        <w:spacing w:after="200" w:line="276"/>
      </w:pPr>
      <w:r>
        <w:t xml:space="preserve">Toda infraestructura se define, versiona y despliega como código, eliminando la configuración manual de ambientes.</w:t>
      </w:r>
    </w:p>
    <w:p>
      <w:pPr>
        <w:pStyle w:val="ListParagraph"/>
        <w:numPr>
          <w:ilvl w:val="0"/>
          <w:numId w:val="2"/>
        </w:numPr>
        <w:spacing w:after="120"/>
      </w:pPr>
      <w:r>
        <w:t xml:space="preserve">Terraform es el estándar corporativo para el aprovisionamiento de infraestructura en AWS y Azure.</w:t>
      </w:r>
    </w:p>
    <w:p>
      <w:pPr>
        <w:pStyle w:val="ListParagraph"/>
        <w:numPr>
          <w:ilvl w:val="0"/>
          <w:numId w:val="2"/>
        </w:numPr>
        <w:spacing w:after="120"/>
      </w:pPr>
      <w:r>
        <w:t xml:space="preserve">Los cambios de infraestructura siguen el mismo flujo de revisión por pares y pipeline que el código de aplicación.</w:t>
      </w:r>
    </w:p>
    <w:p>
      <w:pPr>
        <w:pStyle w:val="ListParagraph"/>
        <w:numPr>
          <w:ilvl w:val="0"/>
          <w:numId w:val="2"/>
        </w:numPr>
        <w:spacing w:after="120"/>
      </w:pPr>
      <w:r>
        <w:t xml:space="preserve">Los ambientes son reproducibles: cualquier ambiente puede reconstruirse desde su definición en código.</w:t>
      </w:r>
    </w:p>
    <w:p>
      <w:pPr>
        <w:pStyle w:val="Heading2"/>
        <w:spacing w:after="180" w:before="360"/>
      </w:pPr>
      <w:r>
        <w:rPr>
          <w:b/>
          <w:bCs/>
        </w:rPr>
        <w:t xml:space="preserve">3.3. Resiliencia, Alta Disponibilidad y Escala</w:t>
      </w:r>
    </w:p>
    <w:p>
      <w:pPr>
        <w:spacing w:after="200" w:line="276"/>
      </w:pPr>
      <w:r>
        <w:t xml:space="preserve">Los servicios críticos se diseñan asumiendo que los fallos son inevitables, priorizando la degradación controlada sobre la interrupción total.</w:t>
      </w:r>
    </w:p>
    <w:p>
      <w:pPr>
        <w:pStyle w:val="ListParagraph"/>
        <w:numPr>
          <w:ilvl w:val="0"/>
          <w:numId w:val="2"/>
        </w:numPr>
        <w:spacing w:after="120"/>
      </w:pPr>
      <w:r>
        <w:t xml:space="preserve">Despliegue en múltiples zonas de disponibilidad como mínimo para todo servicio con SLA de disponibilidad comprometido.</w:t>
      </w:r>
    </w:p>
    <w:p>
      <w:pPr>
        <w:pStyle w:val="ListParagraph"/>
        <w:numPr>
          <w:ilvl w:val="0"/>
          <w:numId w:val="2"/>
        </w:numPr>
        <w:spacing w:after="120"/>
      </w:pPr>
      <w:r>
        <w:t xml:space="preserve">Patrones de circuit breaker, retry con backoff exponencial y timeouts explícitos en toda comunicación entre servicios.</w:t>
      </w:r>
    </w:p>
    <w:p>
      <w:pPr>
        <w:pStyle w:val="ListParagraph"/>
        <w:numPr>
          <w:ilvl w:val="0"/>
          <w:numId w:val="2"/>
        </w:numPr>
        <w:spacing w:after="120"/>
      </w:pPr>
      <w:r>
        <w:t xml:space="preserve">Escalado horizontal automático basado en métricas de carga, evitando el escalado vertical como estrategia principal.</w:t>
      </w:r>
    </w:p>
    <w:p>
      <w:pPr>
        <w:pStyle w:val="ListParagraph"/>
        <w:numPr>
          <w:ilvl w:val="0"/>
          <w:numId w:val="2"/>
        </w:numPr>
        <w:spacing w:after="120"/>
      </w:pPr>
      <w:r>
        <w:t xml:space="preserve">Pruebas periódicas de resiliencia (chaos engineering) sobre servicios de criticidad alta.</w:t>
      </w:r>
    </w:p>
    <w:p>
      <w:pPr>
        <w:pStyle w:val="Heading1"/>
        <w:pageBreakBefore/>
        <w:spacing w:after="240" w:before="480"/>
      </w:pPr>
      <w:r>
        <w:rPr>
          <w:b/>
          <w:bCs/>
        </w:rPr>
        <w:t xml:space="preserve">4. Ecosistema Tecnológico Objetivo</w:t>
      </w:r>
    </w:p>
    <w:p>
      <w:pPr>
        <w:spacing w:after="200" w:line="276"/>
      </w:pPr>
      <w:r>
        <w:t xml:space="preserve">Este capítulo detalla las plataformas y herramientas que conforman el ecosistema tecnológico estándar de la organización, de adopción obligatoria salvo excepción aprobada por el Comité de Arquitectura.</w:t>
      </w:r>
    </w:p>
    <w:p>
      <w:pPr>
        <w:pStyle w:val="Heading2"/>
        <w:spacing w:after="180" w:before="360"/>
      </w:pPr>
      <w:r>
        <w:rPr>
          <w:b/>
          <w:bCs/>
        </w:rPr>
        <w:t xml:space="preserve">4.1. Plataforma Central de CI/CD (GitLab Ultimate)</w:t>
      </w:r>
    </w:p>
    <w:p>
      <w:pPr>
        <w:spacing w:after="200" w:line="276"/>
      </w:pPr>
      <w:r>
        <w:t xml:space="preserve">GitLab Ultimate es la plataforma única y obligatoria de control de versiones, integración y despliegue continuo de la organización, integrando en una sola herramienta las capacidades que antes requerían múltiples productos independientes.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50"/>
      </w:tblGrid>
      <w:tr>
        <w:trPr>
          <w:tblHeader/>
        </w:trPr>
        <w:tc>
          <w:tcPr>
            <w:tcW w:type="dxa" w:w="2400"/>
            <w:shd w:fill="1F3864" w:val="clear"/>
            <w:tcMar>
              <w:top w:type="dxa" w:w="80"/>
              <w:left w:type="dxa" w:w="100"/>
              <w:bottom w:type="dxa" w:w="80"/>
              <w:right w:type="dxa" w:w="100"/>
            </w:tcMar>
            <w:vAlign w:val="center"/>
          </w:tcPr>
          <w:p>
            <w:pPr>
              <w:jc w:val="left"/>
            </w:pPr>
            <w:r>
              <w:rPr>
                <w:b/>
                <w:bCs/>
                <w:color w:val="FFFFFF"/>
              </w:rPr>
              <w:t xml:space="preserve">Capacidad</w:t>
            </w:r>
          </w:p>
        </w:tc>
        <w:tc>
          <w:tcPr>
            <w:tcW w:type="dxa" w:w="3400"/>
            <w:shd w:fill="1F3864" w:val="clear"/>
            <w:tcMar>
              <w:top w:type="dxa" w:w="80"/>
              <w:left w:type="dxa" w:w="100"/>
              <w:bottom w:type="dxa" w:w="80"/>
              <w:right w:type="dxa" w:w="100"/>
            </w:tcMar>
            <w:vAlign w:val="center"/>
          </w:tcPr>
          <w:p>
            <w:pPr>
              <w:jc w:val="left"/>
            </w:pPr>
            <w:r>
              <w:rPr>
                <w:b/>
                <w:bCs/>
                <w:color w:val="FFFFFF"/>
              </w:rPr>
              <w:t xml:space="preserve">Herramienta / Módulo GitLab Ultimate</w:t>
            </w:r>
          </w:p>
        </w:tc>
        <w:tc>
          <w:tcPr>
            <w:tcW w:type="dxa" w:w="3550"/>
            <w:shd w:fill="1F3864" w:val="clear"/>
            <w:tcMar>
              <w:top w:type="dxa" w:w="80"/>
              <w:left w:type="dxa" w:w="100"/>
              <w:bottom w:type="dxa" w:w="80"/>
              <w:right w:type="dxa" w:w="100"/>
            </w:tcMar>
            <w:vAlign w:val="center"/>
          </w:tcPr>
          <w:p>
            <w:pPr>
              <w:jc w:val="left"/>
            </w:pPr>
            <w:r>
              <w:rPr>
                <w:b/>
                <w:bCs/>
                <w:color w:val="FFFFFF"/>
              </w:rPr>
              <w:t xml:space="preserve">Propósito</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rPr>
              <w:t xml:space="preserve">Control de versiones</w:t>
            </w:r>
          </w:p>
        </w:tc>
        <w:tc>
          <w:tcPr>
            <w:tcW w:type="dxa" w:w="3400"/>
            <w:shd w:fill="FFFFFF" w:val="clear"/>
            <w:tcMar>
              <w:top w:type="dxa" w:w="80"/>
              <w:left w:type="dxa" w:w="100"/>
              <w:bottom w:type="dxa" w:w="80"/>
              <w:right w:type="dxa" w:w="100"/>
            </w:tcMar>
            <w:vAlign w:val="center"/>
          </w:tcPr>
          <w:p>
            <w:pPr>
              <w:jc w:val="left"/>
            </w:pPr>
            <w:r>
              <w:rPr>
                <w:b w:val="false"/>
                <w:bCs w:val="false"/>
                <w:color w:val="000000"/>
              </w:rPr>
              <w:t xml:space="preserve">GitLab Repositories</w:t>
            </w:r>
          </w:p>
        </w:tc>
        <w:tc>
          <w:tcPr>
            <w:tcW w:type="dxa" w:w="3550"/>
            <w:shd w:fill="FFFFFF" w:val="clear"/>
            <w:tcMar>
              <w:top w:type="dxa" w:w="80"/>
              <w:left w:type="dxa" w:w="100"/>
              <w:bottom w:type="dxa" w:w="80"/>
              <w:right w:type="dxa" w:w="100"/>
            </w:tcMar>
            <w:vAlign w:val="center"/>
          </w:tcPr>
          <w:p>
            <w:pPr>
              <w:jc w:val="left"/>
            </w:pPr>
            <w:r>
              <w:rPr>
                <w:b w:val="false"/>
                <w:bCs w:val="false"/>
                <w:color w:val="000000"/>
              </w:rPr>
              <w:t xml:space="preserve">Repositorio único de código fuente con ramas protegidas y revisión obligatoria por pares.</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rPr>
              <w:t xml:space="preserve">Integración continua</w:t>
            </w:r>
          </w:p>
        </w:tc>
        <w:tc>
          <w:tcPr>
            <w:tcW w:type="dxa" w:w="3400"/>
            <w:shd w:fill="F2F2F2" w:val="clear"/>
            <w:tcMar>
              <w:top w:type="dxa" w:w="80"/>
              <w:left w:type="dxa" w:w="100"/>
              <w:bottom w:type="dxa" w:w="80"/>
              <w:right w:type="dxa" w:w="100"/>
            </w:tcMar>
            <w:vAlign w:val="center"/>
          </w:tcPr>
          <w:p>
            <w:pPr>
              <w:jc w:val="left"/>
            </w:pPr>
            <w:r>
              <w:rPr>
                <w:b w:val="false"/>
                <w:bCs w:val="false"/>
                <w:color w:val="000000"/>
              </w:rPr>
              <w:t xml:space="preserve">GitLab CI/CD Pipelines</w:t>
            </w:r>
          </w:p>
        </w:tc>
        <w:tc>
          <w:tcPr>
            <w:tcW w:type="dxa" w:w="3550"/>
            <w:shd w:fill="F2F2F2" w:val="clear"/>
            <w:tcMar>
              <w:top w:type="dxa" w:w="80"/>
              <w:left w:type="dxa" w:w="100"/>
              <w:bottom w:type="dxa" w:w="80"/>
              <w:right w:type="dxa" w:w="100"/>
            </w:tcMar>
            <w:vAlign w:val="center"/>
          </w:tcPr>
          <w:p>
            <w:pPr>
              <w:jc w:val="left"/>
            </w:pPr>
            <w:r>
              <w:rPr>
                <w:b w:val="false"/>
                <w:bCs w:val="false"/>
                <w:color w:val="000000"/>
              </w:rPr>
              <w:t xml:space="preserve">Construcción, pruebas y empaquetado automatizado en cada commit.</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rPr>
              <w:t xml:space="preserve">Seguridad de aplicaciones</w:t>
            </w:r>
          </w:p>
        </w:tc>
        <w:tc>
          <w:tcPr>
            <w:tcW w:type="dxa" w:w="3400"/>
            <w:shd w:fill="FFFFFF" w:val="clear"/>
            <w:tcMar>
              <w:top w:type="dxa" w:w="80"/>
              <w:left w:type="dxa" w:w="100"/>
              <w:bottom w:type="dxa" w:w="80"/>
              <w:right w:type="dxa" w:w="100"/>
            </w:tcMar>
            <w:vAlign w:val="center"/>
          </w:tcPr>
          <w:p>
            <w:pPr>
              <w:jc w:val="left"/>
            </w:pPr>
            <w:r>
              <w:rPr>
                <w:b w:val="false"/>
                <w:bCs w:val="false"/>
                <w:color w:val="000000"/>
              </w:rPr>
              <w:t xml:space="preserve">SAST, DAST, Secret Detection, Dependency Scanning</w:t>
            </w:r>
          </w:p>
        </w:tc>
        <w:tc>
          <w:tcPr>
            <w:tcW w:type="dxa" w:w="3550"/>
            <w:shd w:fill="FFFFFF" w:val="clear"/>
            <w:tcMar>
              <w:top w:type="dxa" w:w="80"/>
              <w:left w:type="dxa" w:w="100"/>
              <w:bottom w:type="dxa" w:w="80"/>
              <w:right w:type="dxa" w:w="100"/>
            </w:tcMar>
            <w:vAlign w:val="center"/>
          </w:tcPr>
          <w:p>
            <w:pPr>
              <w:jc w:val="left"/>
            </w:pPr>
            <w:r>
              <w:rPr>
                <w:b w:val="false"/>
                <w:bCs w:val="false"/>
                <w:color w:val="000000"/>
              </w:rPr>
              <w:t xml:space="preserve">Escaneo automatizado integrado en el pipeline (shift-left).</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rPr>
              <w:t xml:space="preserve">Gestión de artefactos</w:t>
            </w:r>
          </w:p>
        </w:tc>
        <w:tc>
          <w:tcPr>
            <w:tcW w:type="dxa" w:w="3400"/>
            <w:shd w:fill="F2F2F2" w:val="clear"/>
            <w:tcMar>
              <w:top w:type="dxa" w:w="80"/>
              <w:left w:type="dxa" w:w="100"/>
              <w:bottom w:type="dxa" w:w="80"/>
              <w:right w:type="dxa" w:w="100"/>
            </w:tcMar>
            <w:vAlign w:val="center"/>
          </w:tcPr>
          <w:p>
            <w:pPr>
              <w:jc w:val="left"/>
            </w:pPr>
            <w:r>
              <w:rPr>
                <w:b w:val="false"/>
                <w:bCs w:val="false"/>
                <w:color w:val="000000"/>
              </w:rPr>
              <w:t xml:space="preserve">GitLab Package &amp; Container Registry</w:t>
            </w:r>
          </w:p>
        </w:tc>
        <w:tc>
          <w:tcPr>
            <w:tcW w:type="dxa" w:w="3550"/>
            <w:shd w:fill="F2F2F2" w:val="clear"/>
            <w:tcMar>
              <w:top w:type="dxa" w:w="80"/>
              <w:left w:type="dxa" w:w="100"/>
              <w:bottom w:type="dxa" w:w="80"/>
              <w:right w:type="dxa" w:w="100"/>
            </w:tcMar>
            <w:vAlign w:val="center"/>
          </w:tcPr>
          <w:p>
            <w:pPr>
              <w:jc w:val="left"/>
            </w:pPr>
            <w:r>
              <w:rPr>
                <w:b w:val="false"/>
                <w:bCs w:val="false"/>
                <w:color w:val="000000"/>
              </w:rPr>
              <w:t xml:space="preserve">Almacenamiento versionado de artefactos e imágenes de contenedor.</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rPr>
              <w:t xml:space="preserve">Despliegue continuo</w:t>
            </w:r>
          </w:p>
        </w:tc>
        <w:tc>
          <w:tcPr>
            <w:tcW w:type="dxa" w:w="3400"/>
            <w:shd w:fill="FFFFFF" w:val="clear"/>
            <w:tcMar>
              <w:top w:type="dxa" w:w="80"/>
              <w:left w:type="dxa" w:w="100"/>
              <w:bottom w:type="dxa" w:w="80"/>
              <w:right w:type="dxa" w:w="100"/>
            </w:tcMar>
            <w:vAlign w:val="center"/>
          </w:tcPr>
          <w:p>
            <w:pPr>
              <w:jc w:val="left"/>
            </w:pPr>
            <w:r>
              <w:rPr>
                <w:b w:val="false"/>
                <w:bCs w:val="false"/>
                <w:color w:val="000000"/>
              </w:rPr>
              <w:t xml:space="preserve">GitLab Environments + Kubernetes Agent</w:t>
            </w:r>
          </w:p>
        </w:tc>
        <w:tc>
          <w:tcPr>
            <w:tcW w:type="dxa" w:w="3550"/>
            <w:shd w:fill="FFFFFF" w:val="clear"/>
            <w:tcMar>
              <w:top w:type="dxa" w:w="80"/>
              <w:left w:type="dxa" w:w="100"/>
              <w:bottom w:type="dxa" w:w="80"/>
              <w:right w:type="dxa" w:w="100"/>
            </w:tcMar>
            <w:vAlign w:val="center"/>
          </w:tcPr>
          <w:p>
            <w:pPr>
              <w:jc w:val="left"/>
            </w:pPr>
            <w:r>
              <w:rPr>
                <w:b w:val="false"/>
                <w:bCs w:val="false"/>
                <w:color w:val="000000"/>
              </w:rPr>
              <w:t xml:space="preserve">Despliegue progresivo (canary / blue-green) a clústeres target.</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rPr>
              <w:t xml:space="preserve">Gobierno y cumplimiento</w:t>
            </w:r>
          </w:p>
        </w:tc>
        <w:tc>
          <w:tcPr>
            <w:tcW w:type="dxa" w:w="3400"/>
            <w:shd w:fill="F2F2F2" w:val="clear"/>
            <w:tcMar>
              <w:top w:type="dxa" w:w="80"/>
              <w:left w:type="dxa" w:w="100"/>
              <w:bottom w:type="dxa" w:w="80"/>
              <w:right w:type="dxa" w:w="100"/>
            </w:tcMar>
            <w:vAlign w:val="center"/>
          </w:tcPr>
          <w:p>
            <w:pPr>
              <w:jc w:val="left"/>
            </w:pPr>
            <w:r>
              <w:rPr>
                <w:b w:val="false"/>
                <w:bCs w:val="false"/>
                <w:color w:val="000000"/>
              </w:rPr>
              <w:t xml:space="preserve">Compliance Pipelines, Merge Request Approvals</w:t>
            </w:r>
          </w:p>
        </w:tc>
        <w:tc>
          <w:tcPr>
            <w:tcW w:type="dxa" w:w="3550"/>
            <w:shd w:fill="F2F2F2" w:val="clear"/>
            <w:tcMar>
              <w:top w:type="dxa" w:w="80"/>
              <w:left w:type="dxa" w:w="100"/>
              <w:bottom w:type="dxa" w:w="80"/>
              <w:right w:type="dxa" w:w="100"/>
            </w:tcMar>
            <w:vAlign w:val="center"/>
          </w:tcPr>
          <w:p>
            <w:pPr>
              <w:jc w:val="left"/>
            </w:pPr>
            <w:r>
              <w:rPr>
                <w:b w:val="false"/>
                <w:bCs w:val="false"/>
                <w:color w:val="000000"/>
              </w:rPr>
              <w:t xml:space="preserve">Aplicación de los gates definidos en el modelo de gobierno DevSecOps (ver GOB-001).</w:t>
            </w:r>
          </w:p>
        </w:tc>
      </w:tr>
    </w:tbl>
    <w:p>
      <w:pPr>
        <w:pStyle w:val="Heading2"/>
        <w:spacing w:after="180" w:before="360"/>
      </w:pPr>
      <w:r>
        <w:rPr>
          <w:b/>
          <w:bCs/>
        </w:rPr>
        <w:t xml:space="preserve">4.2. Plataformas Cloud Target (AWS / Azure)</w:t>
      </w:r>
    </w:p>
    <w:p>
      <w:pPr>
        <w:spacing w:after="200" w:line="276"/>
      </w:pPr>
      <w:r>
        <w:t xml:space="preserve">La organización opera bajo una estrategia multi-nube deliberada, con AWS y Azure como proveedores homologados. La selección de proveedor por proyecto se decide según el criterio dominante de cada carga de trabajo, no por preferencia individual de equipo.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3650"/>
        <w:gridCol w:w="3700"/>
      </w:tblGrid>
      <w:tr>
        <w:trPr>
          <w:tblHeader/>
        </w:trPr>
        <w:tc>
          <w:tcPr>
            <w:tcW w:type="dxa" w:w="2000"/>
            <w:shd w:fill="1F3864" w:val="clear"/>
            <w:tcMar>
              <w:top w:type="dxa" w:w="80"/>
              <w:left w:type="dxa" w:w="100"/>
              <w:bottom w:type="dxa" w:w="80"/>
              <w:right w:type="dxa" w:w="100"/>
            </w:tcMar>
            <w:vAlign w:val="center"/>
          </w:tcPr>
          <w:p>
            <w:pPr>
              <w:jc w:val="left"/>
            </w:pPr>
            <w:r>
              <w:rPr>
                <w:b/>
                <w:bCs/>
                <w:color w:val="FFFFFF"/>
              </w:rPr>
              <w:t xml:space="preserve">Criterio</w:t>
            </w:r>
          </w:p>
        </w:tc>
        <w:tc>
          <w:tcPr>
            <w:tcW w:type="dxa" w:w="3650"/>
            <w:shd w:fill="1F3864" w:val="clear"/>
            <w:tcMar>
              <w:top w:type="dxa" w:w="80"/>
              <w:left w:type="dxa" w:w="100"/>
              <w:bottom w:type="dxa" w:w="80"/>
              <w:right w:type="dxa" w:w="100"/>
            </w:tcMar>
            <w:vAlign w:val="center"/>
          </w:tcPr>
          <w:p>
            <w:pPr>
              <w:jc w:val="left"/>
            </w:pPr>
            <w:r>
              <w:rPr>
                <w:b/>
                <w:bCs/>
                <w:color w:val="FFFFFF"/>
              </w:rPr>
              <w:t xml:space="preserve">AWS</w:t>
            </w:r>
          </w:p>
        </w:tc>
        <w:tc>
          <w:tcPr>
            <w:tcW w:type="dxa" w:w="3700"/>
            <w:shd w:fill="1F3864" w:val="clear"/>
            <w:tcMar>
              <w:top w:type="dxa" w:w="80"/>
              <w:left w:type="dxa" w:w="100"/>
              <w:bottom w:type="dxa" w:w="80"/>
              <w:right w:type="dxa" w:w="100"/>
            </w:tcMar>
            <w:vAlign w:val="center"/>
          </w:tcPr>
          <w:p>
            <w:pPr>
              <w:jc w:val="left"/>
            </w:pPr>
            <w:r>
              <w:rPr>
                <w:b/>
                <w:bCs/>
                <w:color w:val="FFFFFF"/>
              </w:rPr>
              <w:t xml:space="preserve">Azure</w:t>
            </w:r>
          </w:p>
        </w:tc>
      </w:tr>
      <w:tr>
        <w:tc>
          <w:tcPr>
            <w:tcW w:type="dxa" w:w="2000"/>
            <w:shd w:fill="FFFFFF" w:val="clear"/>
            <w:tcMar>
              <w:top w:type="dxa" w:w="80"/>
              <w:left w:type="dxa" w:w="100"/>
              <w:bottom w:type="dxa" w:w="80"/>
              <w:right w:type="dxa" w:w="100"/>
            </w:tcMar>
            <w:vAlign w:val="center"/>
          </w:tcPr>
          <w:p>
            <w:pPr>
              <w:jc w:val="left"/>
            </w:pPr>
            <w:r>
              <w:rPr>
                <w:b w:val="false"/>
                <w:bCs w:val="false"/>
                <w:color w:val="000000"/>
              </w:rPr>
              <w:t xml:space="preserve">Rol objetivo</w:t>
            </w:r>
          </w:p>
        </w:tc>
        <w:tc>
          <w:tcPr>
            <w:tcW w:type="dxa" w:w="3650"/>
            <w:shd w:fill="FFFFFF" w:val="clear"/>
            <w:tcMar>
              <w:top w:type="dxa" w:w="80"/>
              <w:left w:type="dxa" w:w="100"/>
              <w:bottom w:type="dxa" w:w="80"/>
              <w:right w:type="dxa" w:w="100"/>
            </w:tcMar>
            <w:vAlign w:val="center"/>
          </w:tcPr>
          <w:p>
            <w:pPr>
              <w:jc w:val="left"/>
            </w:pPr>
            <w:r>
              <w:rPr>
                <w:b w:val="false"/>
                <w:bCs w:val="false"/>
                <w:color w:val="000000"/>
              </w:rPr>
              <w:t xml:space="preserve">Plataforma primaria para cargas de negocio orientadas al cliente final.</w:t>
            </w:r>
          </w:p>
        </w:tc>
        <w:tc>
          <w:tcPr>
            <w:tcW w:type="dxa" w:w="3700"/>
            <w:shd w:fill="FFFFFF" w:val="clear"/>
            <w:tcMar>
              <w:top w:type="dxa" w:w="80"/>
              <w:left w:type="dxa" w:w="100"/>
              <w:bottom w:type="dxa" w:w="80"/>
              <w:right w:type="dxa" w:w="100"/>
            </w:tcMar>
            <w:vAlign w:val="center"/>
          </w:tcPr>
          <w:p>
            <w:pPr>
              <w:jc w:val="left"/>
            </w:pPr>
            <w:r>
              <w:rPr>
                <w:b w:val="false"/>
                <w:bCs w:val="false"/>
                <w:color w:val="000000"/>
              </w:rPr>
              <w:t xml:space="preserve">Plataforma primaria para cargas corporativas e integración con el ecosistema Microsoft.</w:t>
            </w:r>
          </w:p>
        </w:tc>
      </w:tr>
      <w:tr>
        <w:tc>
          <w:tcPr>
            <w:tcW w:type="dxa" w:w="2000"/>
            <w:shd w:fill="F2F2F2" w:val="clear"/>
            <w:tcMar>
              <w:top w:type="dxa" w:w="80"/>
              <w:left w:type="dxa" w:w="100"/>
              <w:bottom w:type="dxa" w:w="80"/>
              <w:right w:type="dxa" w:w="100"/>
            </w:tcMar>
            <w:vAlign w:val="center"/>
          </w:tcPr>
          <w:p>
            <w:pPr>
              <w:jc w:val="left"/>
            </w:pPr>
            <w:r>
              <w:rPr>
                <w:b w:val="false"/>
                <w:bCs w:val="false"/>
                <w:color w:val="000000"/>
              </w:rPr>
              <w:t xml:space="preserve">Cómputo estándar</w:t>
            </w:r>
          </w:p>
        </w:tc>
        <w:tc>
          <w:tcPr>
            <w:tcW w:type="dxa" w:w="3650"/>
            <w:shd w:fill="F2F2F2" w:val="clear"/>
            <w:tcMar>
              <w:top w:type="dxa" w:w="80"/>
              <w:left w:type="dxa" w:w="100"/>
              <w:bottom w:type="dxa" w:w="80"/>
              <w:right w:type="dxa" w:w="100"/>
            </w:tcMar>
            <w:vAlign w:val="center"/>
          </w:tcPr>
          <w:p>
            <w:pPr>
              <w:jc w:val="left"/>
            </w:pPr>
            <w:r>
              <w:rPr>
                <w:b w:val="false"/>
                <w:bCs w:val="false"/>
                <w:color w:val="000000"/>
              </w:rPr>
              <w:t xml:space="preserve">Amazon EKS, AWS Fargate, EC2 Auto Scaling.</w:t>
            </w:r>
          </w:p>
        </w:tc>
        <w:tc>
          <w:tcPr>
            <w:tcW w:type="dxa" w:w="3700"/>
            <w:shd w:fill="F2F2F2" w:val="clear"/>
            <w:tcMar>
              <w:top w:type="dxa" w:w="80"/>
              <w:left w:type="dxa" w:w="100"/>
              <w:bottom w:type="dxa" w:w="80"/>
              <w:right w:type="dxa" w:w="100"/>
            </w:tcMar>
            <w:vAlign w:val="center"/>
          </w:tcPr>
          <w:p>
            <w:pPr>
              <w:jc w:val="left"/>
            </w:pPr>
            <w:r>
              <w:rPr>
                <w:b w:val="false"/>
                <w:bCs w:val="false"/>
                <w:color w:val="000000"/>
              </w:rPr>
              <w:t xml:space="preserve">Azure Kubernetes Service (AKS), Azure Container Apps.</w:t>
            </w:r>
          </w:p>
        </w:tc>
      </w:tr>
      <w:tr>
        <w:tc>
          <w:tcPr>
            <w:tcW w:type="dxa" w:w="2000"/>
            <w:shd w:fill="FFFFFF" w:val="clear"/>
            <w:tcMar>
              <w:top w:type="dxa" w:w="80"/>
              <w:left w:type="dxa" w:w="100"/>
              <w:bottom w:type="dxa" w:w="80"/>
              <w:right w:type="dxa" w:w="100"/>
            </w:tcMar>
            <w:vAlign w:val="center"/>
          </w:tcPr>
          <w:p>
            <w:pPr>
              <w:jc w:val="left"/>
            </w:pPr>
            <w:r>
              <w:rPr>
                <w:b w:val="false"/>
                <w:bCs w:val="false"/>
                <w:color w:val="000000"/>
              </w:rPr>
              <w:t xml:space="preserve">Datos gestionados</w:t>
            </w:r>
          </w:p>
        </w:tc>
        <w:tc>
          <w:tcPr>
            <w:tcW w:type="dxa" w:w="3650"/>
            <w:shd w:fill="FFFFFF" w:val="clear"/>
            <w:tcMar>
              <w:top w:type="dxa" w:w="80"/>
              <w:left w:type="dxa" w:w="100"/>
              <w:bottom w:type="dxa" w:w="80"/>
              <w:right w:type="dxa" w:w="100"/>
            </w:tcMar>
            <w:vAlign w:val="center"/>
          </w:tcPr>
          <w:p>
            <w:pPr>
              <w:jc w:val="left"/>
            </w:pPr>
            <w:r>
              <w:rPr>
                <w:b w:val="false"/>
                <w:bCs w:val="false"/>
                <w:color w:val="000000"/>
              </w:rPr>
              <w:t xml:space="preserve">Amazon RDS, Amazon Aurora, DynamoDB, S3.</w:t>
            </w:r>
          </w:p>
        </w:tc>
        <w:tc>
          <w:tcPr>
            <w:tcW w:type="dxa" w:w="3700"/>
            <w:shd w:fill="FFFFFF" w:val="clear"/>
            <w:tcMar>
              <w:top w:type="dxa" w:w="80"/>
              <w:left w:type="dxa" w:w="100"/>
              <w:bottom w:type="dxa" w:w="80"/>
              <w:right w:type="dxa" w:w="100"/>
            </w:tcMar>
            <w:vAlign w:val="center"/>
          </w:tcPr>
          <w:p>
            <w:pPr>
              <w:jc w:val="left"/>
            </w:pPr>
            <w:r>
              <w:rPr>
                <w:b w:val="false"/>
                <w:bCs w:val="false"/>
                <w:color w:val="000000"/>
              </w:rPr>
              <w:t xml:space="preserve">Azure SQL Database, Cosmos DB, Blob Storage.</w:t>
            </w:r>
          </w:p>
        </w:tc>
      </w:tr>
      <w:tr>
        <w:tc>
          <w:tcPr>
            <w:tcW w:type="dxa" w:w="2000"/>
            <w:shd w:fill="F2F2F2" w:val="clear"/>
            <w:tcMar>
              <w:top w:type="dxa" w:w="80"/>
              <w:left w:type="dxa" w:w="100"/>
              <w:bottom w:type="dxa" w:w="80"/>
              <w:right w:type="dxa" w:w="100"/>
            </w:tcMar>
            <w:vAlign w:val="center"/>
          </w:tcPr>
          <w:p>
            <w:pPr>
              <w:jc w:val="left"/>
            </w:pPr>
            <w:r>
              <w:rPr>
                <w:b w:val="false"/>
                <w:bCs w:val="false"/>
                <w:color w:val="000000"/>
              </w:rPr>
              <w:t xml:space="preserve">Identidad</w:t>
            </w:r>
          </w:p>
        </w:tc>
        <w:tc>
          <w:tcPr>
            <w:tcW w:type="dxa" w:w="3650"/>
            <w:shd w:fill="F2F2F2" w:val="clear"/>
            <w:tcMar>
              <w:top w:type="dxa" w:w="80"/>
              <w:left w:type="dxa" w:w="100"/>
              <w:bottom w:type="dxa" w:w="80"/>
              <w:right w:type="dxa" w:w="100"/>
            </w:tcMar>
            <w:vAlign w:val="center"/>
          </w:tcPr>
          <w:p>
            <w:pPr>
              <w:jc w:val="left"/>
            </w:pPr>
            <w:r>
              <w:rPr>
                <w:b w:val="false"/>
                <w:bCs w:val="false"/>
                <w:color w:val="000000"/>
              </w:rPr>
              <w:t xml:space="preserve">AWS IAM federado con el IdP corporativo.</w:t>
            </w:r>
          </w:p>
        </w:tc>
        <w:tc>
          <w:tcPr>
            <w:tcW w:type="dxa" w:w="3700"/>
            <w:shd w:fill="F2F2F2" w:val="clear"/>
            <w:tcMar>
              <w:top w:type="dxa" w:w="80"/>
              <w:left w:type="dxa" w:w="100"/>
              <w:bottom w:type="dxa" w:w="80"/>
              <w:right w:type="dxa" w:w="100"/>
            </w:tcMar>
            <w:vAlign w:val="center"/>
          </w:tcPr>
          <w:p>
            <w:pPr>
              <w:jc w:val="left"/>
            </w:pPr>
            <w:r>
              <w:rPr>
                <w:b w:val="false"/>
                <w:bCs w:val="false"/>
                <w:color w:val="000000"/>
              </w:rPr>
              <w:t xml:space="preserve">Microsoft Entra ID como IdP corporativo primario.</w:t>
            </w:r>
          </w:p>
        </w:tc>
      </w:tr>
      <w:tr>
        <w:tc>
          <w:tcPr>
            <w:tcW w:type="dxa" w:w="2000"/>
            <w:shd w:fill="FFFFFF" w:val="clear"/>
            <w:tcMar>
              <w:top w:type="dxa" w:w="80"/>
              <w:left w:type="dxa" w:w="100"/>
              <w:bottom w:type="dxa" w:w="80"/>
              <w:right w:type="dxa" w:w="100"/>
            </w:tcMar>
            <w:vAlign w:val="center"/>
          </w:tcPr>
          <w:p>
            <w:pPr>
              <w:jc w:val="left"/>
            </w:pPr>
            <w:r>
              <w:rPr>
                <w:b w:val="false"/>
                <w:bCs w:val="false"/>
                <w:color w:val="000000"/>
              </w:rPr>
              <w:t xml:space="preserve">Estrategia multi-nube</w:t>
            </w:r>
          </w:p>
        </w:tc>
        <w:tc>
          <w:tcPr>
            <w:tcW w:type="dxa" w:w="3650"/>
            <w:shd w:fill="FFFFFF" w:val="clear"/>
            <w:tcMar>
              <w:top w:type="dxa" w:w="80"/>
              <w:left w:type="dxa" w:w="100"/>
              <w:bottom w:type="dxa" w:w="80"/>
              <w:right w:type="dxa" w:w="100"/>
            </w:tcMar>
            <w:vAlign w:val="center"/>
          </w:tcPr>
          <w:p>
            <w:pPr>
              <w:jc w:val="left"/>
            </w:pPr>
            <w:r>
              <w:rPr>
                <w:b w:val="false"/>
                <w:bCs w:val="false"/>
                <w:color w:val="000000"/>
              </w:rPr>
              <w:t xml:space="preserve">Selección por caso de uso, evitando dependencia exclusiva de servicios propietarios no portables.</w:t>
            </w:r>
          </w:p>
        </w:tc>
        <w:tc>
          <w:tcPr>
            <w:tcW w:type="dxa" w:w="3700"/>
            <w:shd w:fill="FFFFFF" w:val="clear"/>
            <w:tcMar>
              <w:top w:type="dxa" w:w="80"/>
              <w:left w:type="dxa" w:w="100"/>
              <w:bottom w:type="dxa" w:w="80"/>
              <w:right w:type="dxa" w:w="100"/>
            </w:tcMar>
            <w:vAlign w:val="center"/>
          </w:tcPr>
          <w:p>
            <w:pPr>
              <w:jc w:val="left"/>
            </w:pPr>
            <w:r>
              <w:rPr>
                <w:b w:val="false"/>
                <w:bCs w:val="false"/>
                <w:color w:val="000000"/>
              </w:rPr>
              <w:t xml:space="preserve">Interoperabilidad garantizada mediante contenedores, IaC y APIs estándar.</w:t>
            </w:r>
          </w:p>
        </w:tc>
      </w:tr>
    </w:tbl>
    <w:p>
      <w:pPr>
        <w:pStyle w:val="Heading2"/>
        <w:spacing w:after="180" w:before="360"/>
      </w:pPr>
      <w:r>
        <w:rPr>
          <w:b/>
          <w:bCs/>
        </w:rPr>
        <w:t xml:space="preserve">4.3. Herramientas de Inspección, Análisis y Monitoreo</w:t>
      </w:r>
    </w:p>
    <w:p>
      <w:pPr>
        <w:spacing w:after="200" w:line="276"/>
      </w:pPr>
      <w:r>
        <w:t xml:space="preserve">El ecosistema de observabilidad y calidad se construye sobre herramientas estándar que garantizan visibilidad end-to-end del comportamiento de las soluciones en producción.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50"/>
      </w:tblGrid>
      <w:tr>
        <w:trPr>
          <w:tblHeader/>
        </w:trPr>
        <w:tc>
          <w:tcPr>
            <w:tcW w:type="dxa" w:w="2400"/>
            <w:shd w:fill="1F3864" w:val="clear"/>
            <w:tcMar>
              <w:top w:type="dxa" w:w="80"/>
              <w:left w:type="dxa" w:w="100"/>
              <w:bottom w:type="dxa" w:w="80"/>
              <w:right w:type="dxa" w:w="100"/>
            </w:tcMar>
            <w:vAlign w:val="center"/>
          </w:tcPr>
          <w:p>
            <w:pPr>
              <w:jc w:val="left"/>
            </w:pPr>
            <w:r>
              <w:rPr>
                <w:b/>
                <w:bCs/>
                <w:color w:val="FFFFFF"/>
              </w:rPr>
              <w:t xml:space="preserve">Categoría</w:t>
            </w:r>
          </w:p>
        </w:tc>
        <w:tc>
          <w:tcPr>
            <w:tcW w:type="dxa" w:w="3200"/>
            <w:shd w:fill="1F3864" w:val="clear"/>
            <w:tcMar>
              <w:top w:type="dxa" w:w="80"/>
              <w:left w:type="dxa" w:w="100"/>
              <w:bottom w:type="dxa" w:w="80"/>
              <w:right w:type="dxa" w:w="100"/>
            </w:tcMar>
            <w:vAlign w:val="center"/>
          </w:tcPr>
          <w:p>
            <w:pPr>
              <w:jc w:val="left"/>
            </w:pPr>
            <w:r>
              <w:rPr>
                <w:b/>
                <w:bCs/>
                <w:color w:val="FFFFFF"/>
              </w:rPr>
              <w:t xml:space="preserve">Herramienta de Referencia</w:t>
            </w:r>
          </w:p>
        </w:tc>
        <w:tc>
          <w:tcPr>
            <w:tcW w:type="dxa" w:w="3750"/>
            <w:shd w:fill="1F3864" w:val="clear"/>
            <w:tcMar>
              <w:top w:type="dxa" w:w="80"/>
              <w:left w:type="dxa" w:w="100"/>
              <w:bottom w:type="dxa" w:w="80"/>
              <w:right w:type="dxa" w:w="100"/>
            </w:tcMar>
            <w:vAlign w:val="center"/>
          </w:tcPr>
          <w:p>
            <w:pPr>
              <w:jc w:val="left"/>
            </w:pPr>
            <w:r>
              <w:rPr>
                <w:b/>
                <w:bCs/>
                <w:color w:val="FFFFFF"/>
              </w:rPr>
              <w:t xml:space="preserve">Función</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rPr>
              <w:t xml:space="preserve">Observabilidad de métricas</w:t>
            </w:r>
          </w:p>
        </w:tc>
        <w:tc>
          <w:tcPr>
            <w:tcW w:type="dxa" w:w="3200"/>
            <w:shd w:fill="FFFFFF" w:val="clear"/>
            <w:tcMar>
              <w:top w:type="dxa" w:w="80"/>
              <w:left w:type="dxa" w:w="100"/>
              <w:bottom w:type="dxa" w:w="80"/>
              <w:right w:type="dxa" w:w="100"/>
            </w:tcMar>
            <w:vAlign w:val="center"/>
          </w:tcPr>
          <w:p>
            <w:pPr>
              <w:jc w:val="left"/>
            </w:pPr>
            <w:r>
              <w:rPr>
                <w:b w:val="false"/>
                <w:bCs w:val="false"/>
                <w:color w:val="000000"/>
              </w:rPr>
              <w:t xml:space="preserve">Prometheus + Grafana</w:t>
            </w:r>
          </w:p>
        </w:tc>
        <w:tc>
          <w:tcPr>
            <w:tcW w:type="dxa" w:w="3750"/>
            <w:shd w:fill="FFFFFF" w:val="clear"/>
            <w:tcMar>
              <w:top w:type="dxa" w:w="80"/>
              <w:left w:type="dxa" w:w="100"/>
              <w:bottom w:type="dxa" w:w="80"/>
              <w:right w:type="dxa" w:w="100"/>
            </w:tcMar>
            <w:vAlign w:val="center"/>
          </w:tcPr>
          <w:p>
            <w:pPr>
              <w:jc w:val="left"/>
            </w:pPr>
            <w:r>
              <w:rPr>
                <w:b w:val="false"/>
                <w:bCs w:val="false"/>
                <w:color w:val="000000"/>
              </w:rPr>
              <w:t xml:space="preserve">Recolección y visualización de métricas de infraestructura y aplicación.</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rPr>
              <w:t xml:space="preserve">Trazabilidad distribuida</w:t>
            </w:r>
          </w:p>
        </w:tc>
        <w:tc>
          <w:tcPr>
            <w:tcW w:type="dxa" w:w="3200"/>
            <w:shd w:fill="F2F2F2" w:val="clear"/>
            <w:tcMar>
              <w:top w:type="dxa" w:w="80"/>
              <w:left w:type="dxa" w:w="100"/>
              <w:bottom w:type="dxa" w:w="80"/>
              <w:right w:type="dxa" w:w="100"/>
            </w:tcMar>
            <w:vAlign w:val="center"/>
          </w:tcPr>
          <w:p>
            <w:pPr>
              <w:jc w:val="left"/>
            </w:pPr>
            <w:r>
              <w:rPr>
                <w:b w:val="false"/>
                <w:bCs w:val="false"/>
                <w:color w:val="000000"/>
              </w:rPr>
              <w:t xml:space="preserve">OpenTelemetry + Jaeger</w:t>
            </w:r>
          </w:p>
        </w:tc>
        <w:tc>
          <w:tcPr>
            <w:tcW w:type="dxa" w:w="3750"/>
            <w:shd w:fill="F2F2F2" w:val="clear"/>
            <w:tcMar>
              <w:top w:type="dxa" w:w="80"/>
              <w:left w:type="dxa" w:w="100"/>
              <w:bottom w:type="dxa" w:w="80"/>
              <w:right w:type="dxa" w:w="100"/>
            </w:tcMar>
            <w:vAlign w:val="center"/>
          </w:tcPr>
          <w:p>
            <w:pPr>
              <w:jc w:val="left"/>
            </w:pPr>
            <w:r>
              <w:rPr>
                <w:b w:val="false"/>
                <w:bCs w:val="false"/>
                <w:color w:val="000000"/>
              </w:rPr>
              <w:t xml:space="preserve">Seguimiento de transacciones a través de microservicios.</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rPr>
              <w:t xml:space="preserve">Gestión de logs</w:t>
            </w:r>
          </w:p>
        </w:tc>
        <w:tc>
          <w:tcPr>
            <w:tcW w:type="dxa" w:w="3200"/>
            <w:shd w:fill="FFFFFF" w:val="clear"/>
            <w:tcMar>
              <w:top w:type="dxa" w:w="80"/>
              <w:left w:type="dxa" w:w="100"/>
              <w:bottom w:type="dxa" w:w="80"/>
              <w:right w:type="dxa" w:w="100"/>
            </w:tcMar>
            <w:vAlign w:val="center"/>
          </w:tcPr>
          <w:p>
            <w:pPr>
              <w:jc w:val="left"/>
            </w:pPr>
            <w:r>
              <w:rPr>
                <w:b w:val="false"/>
                <w:bCs w:val="false"/>
                <w:color w:val="000000"/>
              </w:rPr>
              <w:t xml:space="preserve">Elastic Stack (ELK) / Loki</w:t>
            </w:r>
          </w:p>
        </w:tc>
        <w:tc>
          <w:tcPr>
            <w:tcW w:type="dxa" w:w="3750"/>
            <w:shd w:fill="FFFFFF" w:val="clear"/>
            <w:tcMar>
              <w:top w:type="dxa" w:w="80"/>
              <w:left w:type="dxa" w:w="100"/>
              <w:bottom w:type="dxa" w:w="80"/>
              <w:right w:type="dxa" w:w="100"/>
            </w:tcMar>
            <w:vAlign w:val="center"/>
          </w:tcPr>
          <w:p>
            <w:pPr>
              <w:jc w:val="left"/>
            </w:pPr>
            <w:r>
              <w:rPr>
                <w:b w:val="false"/>
                <w:bCs w:val="false"/>
                <w:color w:val="000000"/>
              </w:rPr>
              <w:t xml:space="preserve">Centralización, búsqueda y correlación de logs.</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rPr>
              <w:t xml:space="preserve">Análisis estático de código</w:t>
            </w:r>
          </w:p>
        </w:tc>
        <w:tc>
          <w:tcPr>
            <w:tcW w:type="dxa" w:w="3200"/>
            <w:shd w:fill="F2F2F2" w:val="clear"/>
            <w:tcMar>
              <w:top w:type="dxa" w:w="80"/>
              <w:left w:type="dxa" w:w="100"/>
              <w:bottom w:type="dxa" w:w="80"/>
              <w:right w:type="dxa" w:w="100"/>
            </w:tcMar>
            <w:vAlign w:val="center"/>
          </w:tcPr>
          <w:p>
            <w:pPr>
              <w:jc w:val="left"/>
            </w:pPr>
            <w:r>
              <w:rPr>
                <w:b w:val="false"/>
                <w:bCs w:val="false"/>
                <w:color w:val="000000"/>
              </w:rPr>
              <w:t xml:space="preserve">SonarQube</w:t>
            </w:r>
          </w:p>
        </w:tc>
        <w:tc>
          <w:tcPr>
            <w:tcW w:type="dxa" w:w="3750"/>
            <w:shd w:fill="F2F2F2" w:val="clear"/>
            <w:tcMar>
              <w:top w:type="dxa" w:w="80"/>
              <w:left w:type="dxa" w:w="100"/>
              <w:bottom w:type="dxa" w:w="80"/>
              <w:right w:type="dxa" w:w="100"/>
            </w:tcMar>
            <w:vAlign w:val="center"/>
          </w:tcPr>
          <w:p>
            <w:pPr>
              <w:jc w:val="left"/>
            </w:pPr>
            <w:r>
              <w:rPr>
                <w:b w:val="false"/>
                <w:bCs w:val="false"/>
                <w:color w:val="000000"/>
              </w:rPr>
              <w:t xml:space="preserve">Calidad de código, deuda técnica y cobertura de pruebas.</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rPr>
              <w:t xml:space="preserve">Análisis de seguridad</w:t>
            </w:r>
          </w:p>
        </w:tc>
        <w:tc>
          <w:tcPr>
            <w:tcW w:type="dxa" w:w="3200"/>
            <w:shd w:fill="FFFFFF" w:val="clear"/>
            <w:tcMar>
              <w:top w:type="dxa" w:w="80"/>
              <w:left w:type="dxa" w:w="100"/>
              <w:bottom w:type="dxa" w:w="80"/>
              <w:right w:type="dxa" w:w="100"/>
            </w:tcMar>
            <w:vAlign w:val="center"/>
          </w:tcPr>
          <w:p>
            <w:pPr>
              <w:jc w:val="left"/>
            </w:pPr>
            <w:r>
              <w:rPr>
                <w:b w:val="false"/>
                <w:bCs w:val="false"/>
                <w:color w:val="000000"/>
              </w:rPr>
              <w:t xml:space="preserve">GitLab SAST/DAST, Trivy</w:t>
            </w:r>
          </w:p>
        </w:tc>
        <w:tc>
          <w:tcPr>
            <w:tcW w:type="dxa" w:w="3750"/>
            <w:shd w:fill="FFFFFF" w:val="clear"/>
            <w:tcMar>
              <w:top w:type="dxa" w:w="80"/>
              <w:left w:type="dxa" w:w="100"/>
              <w:bottom w:type="dxa" w:w="80"/>
              <w:right w:type="dxa" w:w="100"/>
            </w:tcMar>
            <w:vAlign w:val="center"/>
          </w:tcPr>
          <w:p>
            <w:pPr>
              <w:jc w:val="left"/>
            </w:pPr>
            <w:r>
              <w:rPr>
                <w:b w:val="false"/>
                <w:bCs w:val="false"/>
                <w:color w:val="000000"/>
              </w:rPr>
              <w:t xml:space="preserve">Detección de vulnerabilidades en código, dependencias e imágenes.</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rPr>
              <w:t xml:space="preserve">Gestión de incidentes</w:t>
            </w:r>
          </w:p>
        </w:tc>
        <w:tc>
          <w:tcPr>
            <w:tcW w:type="dxa" w:w="3200"/>
            <w:shd w:fill="F2F2F2" w:val="clear"/>
            <w:tcMar>
              <w:top w:type="dxa" w:w="80"/>
              <w:left w:type="dxa" w:w="100"/>
              <w:bottom w:type="dxa" w:w="80"/>
              <w:right w:type="dxa" w:w="100"/>
            </w:tcMar>
            <w:vAlign w:val="center"/>
          </w:tcPr>
          <w:p>
            <w:pPr>
              <w:jc w:val="left"/>
            </w:pPr>
            <w:r>
              <w:rPr>
                <w:b w:val="false"/>
                <w:bCs w:val="false"/>
                <w:color w:val="000000"/>
              </w:rPr>
              <w:t xml:space="preserve">PagerDuty / Opsgenie</w:t>
            </w:r>
          </w:p>
        </w:tc>
        <w:tc>
          <w:tcPr>
            <w:tcW w:type="dxa" w:w="3750"/>
            <w:shd w:fill="F2F2F2" w:val="clear"/>
            <w:tcMar>
              <w:top w:type="dxa" w:w="80"/>
              <w:left w:type="dxa" w:w="100"/>
              <w:bottom w:type="dxa" w:w="80"/>
              <w:right w:type="dxa" w:w="100"/>
            </w:tcMar>
            <w:vAlign w:val="center"/>
          </w:tcPr>
          <w:p>
            <w:pPr>
              <w:jc w:val="left"/>
            </w:pPr>
            <w:r>
              <w:rPr>
                <w:b w:val="false"/>
                <w:bCs w:val="false"/>
                <w:color w:val="000000"/>
              </w:rPr>
              <w:t xml:space="preserve">Alertamiento y escalación ante degradación de servicio.</w:t>
            </w:r>
          </w:p>
        </w:tc>
      </w:tr>
    </w:tbl>
    <w:p>
      <w:pPr>
        <w:pStyle w:val="Heading1"/>
        <w:pageBreakBefore/>
        <w:spacing w:after="240" w:before="480"/>
      </w:pPr>
      <w:r>
        <w:rPr>
          <w:b/>
          <w:bCs/>
        </w:rPr>
        <w:t xml:space="preserve">5. Patrones de Integración y Comunicación</w:t>
      </w:r>
    </w:p>
    <w:p>
      <w:pPr>
        <w:spacing w:after="200" w:line="276"/>
      </w:pPr>
      <w:r>
        <w:t xml:space="preserve">Este capítulo define los protocolos de comunicación estándar entre componentes y la estrategia de exposición controlada de capacidades mediante API Gateway y Service Mesh.</w:t>
      </w:r>
    </w:p>
    <w:p>
      <w:pPr>
        <w:pStyle w:val="Heading2"/>
        <w:spacing w:after="180" w:before="360"/>
      </w:pPr>
      <w:r>
        <w:rPr>
          <w:b/>
          <w:bCs/>
        </w:rPr>
        <w:t xml:space="preserve">5.1. Protocolos Estándar (REST, gRPC, Event-Driven)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3550"/>
        <w:gridCol w:w="3500"/>
      </w:tblGrid>
      <w:tr>
        <w:trPr>
          <w:tblHeader/>
        </w:trPr>
        <w:tc>
          <w:tcPr>
            <w:tcW w:type="dxa" w:w="2300"/>
            <w:shd w:fill="1F3864" w:val="clear"/>
            <w:tcMar>
              <w:top w:type="dxa" w:w="80"/>
              <w:left w:type="dxa" w:w="100"/>
              <w:bottom w:type="dxa" w:w="80"/>
              <w:right w:type="dxa" w:w="100"/>
            </w:tcMar>
            <w:vAlign w:val="center"/>
          </w:tcPr>
          <w:p>
            <w:pPr>
              <w:jc w:val="left"/>
            </w:pPr>
            <w:r>
              <w:rPr>
                <w:b/>
                <w:bCs/>
                <w:color w:val="FFFFFF"/>
              </w:rPr>
              <w:t xml:space="preserve">Protocolo / Patrón</w:t>
            </w:r>
          </w:p>
        </w:tc>
        <w:tc>
          <w:tcPr>
            <w:tcW w:type="dxa" w:w="3550"/>
            <w:shd w:fill="1F3864" w:val="clear"/>
            <w:tcMar>
              <w:top w:type="dxa" w:w="80"/>
              <w:left w:type="dxa" w:w="100"/>
              <w:bottom w:type="dxa" w:w="80"/>
              <w:right w:type="dxa" w:w="100"/>
            </w:tcMar>
            <w:vAlign w:val="center"/>
          </w:tcPr>
          <w:p>
            <w:pPr>
              <w:jc w:val="left"/>
            </w:pPr>
            <w:r>
              <w:rPr>
                <w:b/>
                <w:bCs/>
                <w:color w:val="FFFFFF"/>
              </w:rPr>
              <w:t xml:space="preserve">Caso de Uso Recomendado</w:t>
            </w:r>
          </w:p>
        </w:tc>
        <w:tc>
          <w:tcPr>
            <w:tcW w:type="dxa" w:w="3500"/>
            <w:shd w:fill="1F3864" w:val="clear"/>
            <w:tcMar>
              <w:top w:type="dxa" w:w="80"/>
              <w:left w:type="dxa" w:w="100"/>
              <w:bottom w:type="dxa" w:w="80"/>
              <w:right w:type="dxa" w:w="100"/>
            </w:tcMar>
            <w:vAlign w:val="center"/>
          </w:tcPr>
          <w:p>
            <w:pPr>
              <w:jc w:val="left"/>
            </w:pPr>
            <w:r>
              <w:rPr>
                <w:b/>
                <w:bCs/>
                <w:color w:val="FFFFFF"/>
              </w:rPr>
              <w:t xml:space="preserve">Consideraciones</w:t>
            </w:r>
          </w:p>
        </w:tc>
      </w:tr>
      <w:tr>
        <w:tc>
          <w:tcPr>
            <w:tcW w:type="dxa" w:w="2300"/>
            <w:shd w:fill="FFFFFF" w:val="clear"/>
            <w:tcMar>
              <w:top w:type="dxa" w:w="80"/>
              <w:left w:type="dxa" w:w="100"/>
              <w:bottom w:type="dxa" w:w="80"/>
              <w:right w:type="dxa" w:w="100"/>
            </w:tcMar>
            <w:vAlign w:val="center"/>
          </w:tcPr>
          <w:p>
            <w:pPr>
              <w:jc w:val="left"/>
            </w:pPr>
            <w:r>
              <w:rPr>
                <w:b w:val="false"/>
                <w:bCs w:val="false"/>
                <w:color w:val="000000"/>
              </w:rPr>
              <w:t xml:space="preserve">REST sobre HTTPS</w:t>
            </w:r>
          </w:p>
        </w:tc>
        <w:tc>
          <w:tcPr>
            <w:tcW w:type="dxa" w:w="3550"/>
            <w:shd w:fill="FFFFFF" w:val="clear"/>
            <w:tcMar>
              <w:top w:type="dxa" w:w="80"/>
              <w:left w:type="dxa" w:w="100"/>
              <w:bottom w:type="dxa" w:w="80"/>
              <w:right w:type="dxa" w:w="100"/>
            </w:tcMar>
            <w:vAlign w:val="center"/>
          </w:tcPr>
          <w:p>
            <w:pPr>
              <w:jc w:val="left"/>
            </w:pPr>
            <w:r>
              <w:rPr>
                <w:b w:val="false"/>
                <w:bCs w:val="false"/>
                <w:color w:val="000000"/>
              </w:rPr>
              <w:t xml:space="preserve">Comunicación síncrona entre servicios de negocio y con clientes externos.</w:t>
            </w:r>
          </w:p>
        </w:tc>
        <w:tc>
          <w:tcPr>
            <w:tcW w:type="dxa" w:w="3500"/>
            <w:shd w:fill="FFFFFF" w:val="clear"/>
            <w:tcMar>
              <w:top w:type="dxa" w:w="80"/>
              <w:left w:type="dxa" w:w="100"/>
              <w:bottom w:type="dxa" w:w="80"/>
              <w:right w:type="dxa" w:w="100"/>
            </w:tcMar>
            <w:vAlign w:val="center"/>
          </w:tcPr>
          <w:p>
            <w:pPr>
              <w:jc w:val="left"/>
            </w:pPr>
            <w:r>
              <w:rPr>
                <w:b w:val="false"/>
                <w:bCs w:val="false"/>
                <w:color w:val="000000"/>
              </w:rPr>
              <w:t xml:space="preserve">Estándar por defecto; versión de API explícita en la URL o en cabeceras.</w:t>
            </w:r>
          </w:p>
        </w:tc>
      </w:tr>
      <w:tr>
        <w:tc>
          <w:tcPr>
            <w:tcW w:type="dxa" w:w="2300"/>
            <w:shd w:fill="F2F2F2" w:val="clear"/>
            <w:tcMar>
              <w:top w:type="dxa" w:w="80"/>
              <w:left w:type="dxa" w:w="100"/>
              <w:bottom w:type="dxa" w:w="80"/>
              <w:right w:type="dxa" w:w="100"/>
            </w:tcMar>
            <w:vAlign w:val="center"/>
          </w:tcPr>
          <w:p>
            <w:pPr>
              <w:jc w:val="left"/>
            </w:pPr>
            <w:r>
              <w:rPr>
                <w:b w:val="false"/>
                <w:bCs w:val="false"/>
                <w:color w:val="000000"/>
              </w:rPr>
              <w:t xml:space="preserve">gRPC</w:t>
            </w:r>
          </w:p>
        </w:tc>
        <w:tc>
          <w:tcPr>
            <w:tcW w:type="dxa" w:w="3550"/>
            <w:shd w:fill="F2F2F2" w:val="clear"/>
            <w:tcMar>
              <w:top w:type="dxa" w:w="80"/>
              <w:left w:type="dxa" w:w="100"/>
              <w:bottom w:type="dxa" w:w="80"/>
              <w:right w:type="dxa" w:w="100"/>
            </w:tcMar>
            <w:vAlign w:val="center"/>
          </w:tcPr>
          <w:p>
            <w:pPr>
              <w:jc w:val="left"/>
            </w:pPr>
            <w:r>
              <w:rPr>
                <w:b w:val="false"/>
                <w:bCs w:val="false"/>
                <w:color w:val="000000"/>
              </w:rPr>
              <w:t xml:space="preserve">Comunicación síncrona interna de baja latencia entre microservicios del mismo dominio.</w:t>
            </w:r>
          </w:p>
        </w:tc>
        <w:tc>
          <w:tcPr>
            <w:tcW w:type="dxa" w:w="3500"/>
            <w:shd w:fill="F2F2F2" w:val="clear"/>
            <w:tcMar>
              <w:top w:type="dxa" w:w="80"/>
              <w:left w:type="dxa" w:w="100"/>
              <w:bottom w:type="dxa" w:w="80"/>
              <w:right w:type="dxa" w:w="100"/>
            </w:tcMar>
            <w:vAlign w:val="center"/>
          </w:tcPr>
          <w:p>
            <w:pPr>
              <w:jc w:val="left"/>
            </w:pPr>
            <w:r>
              <w:rPr>
                <w:b w:val="false"/>
                <w:bCs w:val="false"/>
                <w:color w:val="000000"/>
              </w:rPr>
              <w:t xml:space="preserve">Requiere definición de contratos con Protocol Buffers; no expuesto a Internet.</w:t>
            </w:r>
          </w:p>
        </w:tc>
      </w:tr>
      <w:tr>
        <w:tc>
          <w:tcPr>
            <w:tcW w:type="dxa" w:w="2300"/>
            <w:shd w:fill="FFFFFF" w:val="clear"/>
            <w:tcMar>
              <w:top w:type="dxa" w:w="80"/>
              <w:left w:type="dxa" w:w="100"/>
              <w:bottom w:type="dxa" w:w="80"/>
              <w:right w:type="dxa" w:w="100"/>
            </w:tcMar>
            <w:vAlign w:val="center"/>
          </w:tcPr>
          <w:p>
            <w:pPr>
              <w:jc w:val="left"/>
            </w:pPr>
            <w:r>
              <w:rPr>
                <w:b w:val="false"/>
                <w:bCs w:val="false"/>
                <w:color w:val="000000"/>
              </w:rPr>
              <w:t xml:space="preserve">Event-Driven (Kafka)</w:t>
            </w:r>
          </w:p>
        </w:tc>
        <w:tc>
          <w:tcPr>
            <w:tcW w:type="dxa" w:w="3550"/>
            <w:shd w:fill="FFFFFF" w:val="clear"/>
            <w:tcMar>
              <w:top w:type="dxa" w:w="80"/>
              <w:left w:type="dxa" w:w="100"/>
              <w:bottom w:type="dxa" w:w="80"/>
              <w:right w:type="dxa" w:w="100"/>
            </w:tcMar>
            <w:vAlign w:val="center"/>
          </w:tcPr>
          <w:p>
            <w:pPr>
              <w:jc w:val="left"/>
            </w:pPr>
            <w:r>
              <w:rPr>
                <w:b w:val="false"/>
                <w:bCs w:val="false"/>
                <w:color w:val="000000"/>
              </w:rPr>
              <w:t xml:space="preserve">Propagación de cambios de estado entre dominios, procesamiento asíncrono y desacoplado.</w:t>
            </w:r>
          </w:p>
        </w:tc>
        <w:tc>
          <w:tcPr>
            <w:tcW w:type="dxa" w:w="3500"/>
            <w:shd w:fill="FFFFFF" w:val="clear"/>
            <w:tcMar>
              <w:top w:type="dxa" w:w="80"/>
              <w:left w:type="dxa" w:w="100"/>
              <w:bottom w:type="dxa" w:w="80"/>
              <w:right w:type="dxa" w:w="100"/>
            </w:tcMar>
            <w:vAlign w:val="center"/>
          </w:tcPr>
          <w:p>
            <w:pPr>
              <w:jc w:val="left"/>
            </w:pPr>
            <w:r>
              <w:rPr>
                <w:b w:val="false"/>
                <w:bCs w:val="false"/>
                <w:color w:val="000000"/>
              </w:rPr>
              <w:t xml:space="preserve">Los eventos son inmutables y versionados; cada dominio publica su propio esquema.</w:t>
            </w:r>
          </w:p>
        </w:tc>
      </w:tr>
    </w:tbl>
    <w:p>
      <w:pPr>
        <w:pStyle w:val="Heading2"/>
        <w:spacing w:after="180" w:before="360"/>
      </w:pPr>
      <w:r>
        <w:rPr>
          <w:b/>
          <w:bCs/>
        </w:rPr>
        <w:t xml:space="preserve">5.2. Estrategia de API Gateways y Service Mesh</w:t>
      </w:r>
    </w:p>
    <w:p>
      <w:pPr>
        <w:spacing w:after="200" w:line="276"/>
      </w:pPr>
      <w:r>
        <w:t xml:space="preserve">El acceso externo a las capacidades de negocio se centraliza a través de un API Gateway corporativo, mientras que la comunicación interna entre microservicios dentro del clúster se gestiona mediante un Service Mesh.</w:t>
      </w:r>
    </w:p>
    <w:p>
      <w:pPr>
        <w:pStyle w:val="ListParagraph"/>
        <w:numPr>
          <w:ilvl w:val="0"/>
          <w:numId w:val="2"/>
        </w:numPr>
        <w:spacing w:after="120"/>
      </w:pPr>
      <w:r>
        <w:rPr>
          <w:b/>
          <w:bCs/>
        </w:rPr>
        <w:t xml:space="preserve">API Gateway: </w:t>
      </w:r>
      <w:r>
        <w:t xml:space="preserve">El API Gateway aplica autenticación, autorización, rate limiting y transformación de contratos de forma centralizada, desacoplando estas responsabilidades de cada microservicio.</w:t>
      </w:r>
    </w:p>
    <w:p>
      <w:pPr>
        <w:pStyle w:val="ListParagraph"/>
        <w:numPr>
          <w:ilvl w:val="0"/>
          <w:numId w:val="2"/>
        </w:numPr>
        <w:spacing w:after="120"/>
      </w:pPr>
      <w:r>
        <w:rPr>
          <w:b/>
          <w:bCs/>
        </w:rPr>
        <w:t xml:space="preserve">Service Mesh: </w:t>
      </w:r>
      <w:r>
        <w:t xml:space="preserve">El Service Mesh (Istio o equivalente) provee enrutamiento inteligente, cifrado mTLS automático entre servicios y observabilidad de tráfico interno sin cambios en el código de aplicación.</w:t>
      </w:r>
    </w:p>
    <w:p>
      <w:pPr>
        <w:pStyle w:val="ListParagraph"/>
        <w:numPr>
          <w:ilvl w:val="0"/>
          <w:numId w:val="2"/>
        </w:numPr>
        <w:spacing w:after="120"/>
      </w:pPr>
      <w:r>
        <w:rPr>
          <w:b/>
          <w:bCs/>
        </w:rPr>
        <w:t xml:space="preserve">Regla de exposición: </w:t>
      </w:r>
      <w:r>
        <w:t xml:space="preserve">Ningún microservicio expone su API directamente a Internet; toda exposición externa transita obligatoriamente por el API Gateway.</w:t>
      </w:r>
    </w:p>
    <w:p>
      <w:pPr>
        <w:pStyle w:val="Heading1"/>
        <w:pageBreakBefore/>
        <w:spacing w:after="240" w:before="480"/>
      </w:pPr>
      <w:r>
        <w:rPr>
          <w:b/>
          <w:bCs/>
        </w:rPr>
        <w:t xml:space="preserve">6. Estrategia de Gestión de Datos</w:t>
      </w:r>
    </w:p>
    <w:p>
      <w:pPr>
        <w:spacing w:after="200" w:line="276"/>
      </w:pPr>
      <w:r>
        <w:t xml:space="preserve">Este capítulo establece cómo se clasifican los datos según su sensibilidad y qué patrones de persistencia y aislamiento aplican según el tipo de cliente y dominio.</w:t>
      </w:r>
    </w:p>
    <w:p>
      <w:pPr>
        <w:pStyle w:val="Heading2"/>
        <w:spacing w:after="180" w:before="360"/>
      </w:pPr>
      <w:r>
        <w:rPr>
          <w:b/>
          <w:bCs/>
        </w:rPr>
        <w:t xml:space="preserve">6.1. Clasificación y Dominio de Datos</w:t>
      </w:r>
    </w:p>
    <w:p>
      <w:pPr>
        <w:spacing w:after="200" w:line="276"/>
      </w:pPr>
      <w:r>
        <w:t xml:space="preserve">Todo dato gestionado por la plataforma se clasifica en uno de cuatro niveles, que determinan los controles mínimos de protección aplicables. Cada dominio de negocio es dueño único de sus datos maestros (Domain Data Ownership); ningún otro dominio replica ni modifica datos fuera de su propiedad.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0"/>
        <w:gridCol w:w="2650"/>
        <w:gridCol w:w="2550"/>
        <w:gridCol w:w="2600"/>
      </w:tblGrid>
      <w:tr>
        <w:trPr>
          <w:tblHeader/>
        </w:trPr>
        <w:tc>
          <w:tcPr>
            <w:tcW w:type="dxa" w:w="1550"/>
            <w:shd w:fill="1F3864" w:val="clear"/>
            <w:tcMar>
              <w:top w:type="dxa" w:w="80"/>
              <w:left w:type="dxa" w:w="100"/>
              <w:bottom w:type="dxa" w:w="80"/>
              <w:right w:type="dxa" w:w="100"/>
            </w:tcMar>
            <w:vAlign w:val="center"/>
          </w:tcPr>
          <w:p>
            <w:pPr>
              <w:jc w:val="left"/>
            </w:pPr>
            <w:r>
              <w:rPr>
                <w:b/>
                <w:bCs/>
                <w:color w:val="FFFFFF"/>
              </w:rPr>
              <w:t xml:space="preserve">Nivel</w:t>
            </w:r>
          </w:p>
        </w:tc>
        <w:tc>
          <w:tcPr>
            <w:tcW w:type="dxa" w:w="2650"/>
            <w:shd w:fill="1F3864" w:val="clear"/>
            <w:tcMar>
              <w:top w:type="dxa" w:w="80"/>
              <w:left w:type="dxa" w:w="100"/>
              <w:bottom w:type="dxa" w:w="80"/>
              <w:right w:type="dxa" w:w="100"/>
            </w:tcMar>
            <w:vAlign w:val="center"/>
          </w:tcPr>
          <w:p>
            <w:pPr>
              <w:jc w:val="left"/>
            </w:pPr>
            <w:r>
              <w:rPr>
                <w:b/>
                <w:bCs/>
                <w:color w:val="FFFFFF"/>
              </w:rPr>
              <w:t xml:space="preserve">Descripción</w:t>
            </w:r>
          </w:p>
        </w:tc>
        <w:tc>
          <w:tcPr>
            <w:tcW w:type="dxa" w:w="2550"/>
            <w:shd w:fill="1F3864" w:val="clear"/>
            <w:tcMar>
              <w:top w:type="dxa" w:w="80"/>
              <w:left w:type="dxa" w:w="100"/>
              <w:bottom w:type="dxa" w:w="80"/>
              <w:right w:type="dxa" w:w="100"/>
            </w:tcMar>
            <w:vAlign w:val="center"/>
          </w:tcPr>
          <w:p>
            <w:pPr>
              <w:jc w:val="left"/>
            </w:pPr>
            <w:r>
              <w:rPr>
                <w:b/>
                <w:bCs/>
                <w:color w:val="FFFFFF"/>
              </w:rPr>
              <w:t xml:space="preserve">Ejemplos</w:t>
            </w:r>
          </w:p>
        </w:tc>
        <w:tc>
          <w:tcPr>
            <w:tcW w:type="dxa" w:w="2600"/>
            <w:shd w:fill="1F3864" w:val="clear"/>
            <w:tcMar>
              <w:top w:type="dxa" w:w="80"/>
              <w:left w:type="dxa" w:w="100"/>
              <w:bottom w:type="dxa" w:w="80"/>
              <w:right w:type="dxa" w:w="100"/>
            </w:tcMar>
            <w:vAlign w:val="center"/>
          </w:tcPr>
          <w:p>
            <w:pPr>
              <w:jc w:val="left"/>
            </w:pPr>
            <w:r>
              <w:rPr>
                <w:b/>
                <w:bCs/>
                <w:color w:val="FFFFFF"/>
              </w:rPr>
              <w:t xml:space="preserve">Controles Mínimos</w:t>
            </w:r>
          </w:p>
        </w:tc>
      </w:tr>
      <w:tr>
        <w:tc>
          <w:tcPr>
            <w:tcW w:type="dxa" w:w="1550"/>
            <w:shd w:fill="FFFFFF" w:val="clear"/>
            <w:tcMar>
              <w:top w:type="dxa" w:w="80"/>
              <w:left w:type="dxa" w:w="100"/>
              <w:bottom w:type="dxa" w:w="80"/>
              <w:right w:type="dxa" w:w="100"/>
            </w:tcMar>
            <w:vAlign w:val="center"/>
          </w:tcPr>
          <w:p>
            <w:pPr>
              <w:jc w:val="left"/>
            </w:pPr>
            <w:r>
              <w:rPr>
                <w:b w:val="false"/>
                <w:bCs w:val="false"/>
                <w:color w:val="000000"/>
              </w:rPr>
              <w:t xml:space="preserve">Público</w:t>
            </w:r>
          </w:p>
        </w:tc>
        <w:tc>
          <w:tcPr>
            <w:tcW w:type="dxa" w:w="2650"/>
            <w:shd w:fill="FFFFFF" w:val="clear"/>
            <w:tcMar>
              <w:top w:type="dxa" w:w="80"/>
              <w:left w:type="dxa" w:w="100"/>
              <w:bottom w:type="dxa" w:w="80"/>
              <w:right w:type="dxa" w:w="100"/>
            </w:tcMar>
            <w:vAlign w:val="center"/>
          </w:tcPr>
          <w:p>
            <w:pPr>
              <w:jc w:val="left"/>
            </w:pPr>
            <w:r>
              <w:rPr>
                <w:b w:val="false"/>
                <w:bCs w:val="false"/>
                <w:color w:val="000000"/>
              </w:rPr>
              <w:t xml:space="preserve">Información sin impacto si se divulga.</w:t>
            </w:r>
          </w:p>
        </w:tc>
        <w:tc>
          <w:tcPr>
            <w:tcW w:type="dxa" w:w="2550"/>
            <w:shd w:fill="FFFFFF" w:val="clear"/>
            <w:tcMar>
              <w:top w:type="dxa" w:w="80"/>
              <w:left w:type="dxa" w:w="100"/>
              <w:bottom w:type="dxa" w:w="80"/>
              <w:right w:type="dxa" w:w="100"/>
            </w:tcMar>
            <w:vAlign w:val="center"/>
          </w:tcPr>
          <w:p>
            <w:pPr>
              <w:jc w:val="left"/>
            </w:pPr>
            <w:r>
              <w:rPr>
                <w:b w:val="false"/>
                <w:bCs w:val="false"/>
                <w:color w:val="000000"/>
              </w:rPr>
              <w:t xml:space="preserve">Catálogo de productos, contenido de marketing.</w:t>
            </w:r>
          </w:p>
        </w:tc>
        <w:tc>
          <w:tcPr>
            <w:tcW w:type="dxa" w:w="2600"/>
            <w:shd w:fill="FFFFFF" w:val="clear"/>
            <w:tcMar>
              <w:top w:type="dxa" w:w="80"/>
              <w:left w:type="dxa" w:w="100"/>
              <w:bottom w:type="dxa" w:w="80"/>
              <w:right w:type="dxa" w:w="100"/>
            </w:tcMar>
            <w:vAlign w:val="center"/>
          </w:tcPr>
          <w:p>
            <w:pPr>
              <w:jc w:val="left"/>
            </w:pPr>
            <w:r>
              <w:rPr>
                <w:b w:val="false"/>
                <w:bCs w:val="false"/>
                <w:color w:val="000000"/>
              </w:rPr>
              <w:t xml:space="preserve">Ninguno adicional.</w:t>
            </w:r>
          </w:p>
        </w:tc>
      </w:tr>
      <w:tr>
        <w:tc>
          <w:tcPr>
            <w:tcW w:type="dxa" w:w="1550"/>
            <w:shd w:fill="F2F2F2" w:val="clear"/>
            <w:tcMar>
              <w:top w:type="dxa" w:w="80"/>
              <w:left w:type="dxa" w:w="100"/>
              <w:bottom w:type="dxa" w:w="80"/>
              <w:right w:type="dxa" w:w="100"/>
            </w:tcMar>
            <w:vAlign w:val="center"/>
          </w:tcPr>
          <w:p>
            <w:pPr>
              <w:jc w:val="left"/>
            </w:pPr>
            <w:r>
              <w:rPr>
                <w:b w:val="false"/>
                <w:bCs w:val="false"/>
                <w:color w:val="000000"/>
              </w:rPr>
              <w:t xml:space="preserve">Interno</w:t>
            </w:r>
          </w:p>
        </w:tc>
        <w:tc>
          <w:tcPr>
            <w:tcW w:type="dxa" w:w="2650"/>
            <w:shd w:fill="F2F2F2" w:val="clear"/>
            <w:tcMar>
              <w:top w:type="dxa" w:w="80"/>
              <w:left w:type="dxa" w:w="100"/>
              <w:bottom w:type="dxa" w:w="80"/>
              <w:right w:type="dxa" w:w="100"/>
            </w:tcMar>
            <w:vAlign w:val="center"/>
          </w:tcPr>
          <w:p>
            <w:pPr>
              <w:jc w:val="left"/>
            </w:pPr>
            <w:r>
              <w:rPr>
                <w:b w:val="false"/>
                <w:bCs w:val="false"/>
                <w:color w:val="000000"/>
              </w:rPr>
              <w:t xml:space="preserve">Información de uso operativo no destinada a terceros.</w:t>
            </w:r>
          </w:p>
        </w:tc>
        <w:tc>
          <w:tcPr>
            <w:tcW w:type="dxa" w:w="2550"/>
            <w:shd w:fill="F2F2F2" w:val="clear"/>
            <w:tcMar>
              <w:top w:type="dxa" w:w="80"/>
              <w:left w:type="dxa" w:w="100"/>
              <w:bottom w:type="dxa" w:w="80"/>
              <w:right w:type="dxa" w:w="100"/>
            </w:tcMar>
            <w:vAlign w:val="center"/>
          </w:tcPr>
          <w:p>
            <w:pPr>
              <w:jc w:val="left"/>
            </w:pPr>
            <w:r>
              <w:rPr>
                <w:b w:val="false"/>
                <w:bCs w:val="false"/>
                <w:color w:val="000000"/>
              </w:rPr>
              <w:t xml:space="preserve">Reportes internos, métricas de negocio.</w:t>
            </w:r>
          </w:p>
        </w:tc>
        <w:tc>
          <w:tcPr>
            <w:tcW w:type="dxa" w:w="2600"/>
            <w:shd w:fill="F2F2F2" w:val="clear"/>
            <w:tcMar>
              <w:top w:type="dxa" w:w="80"/>
              <w:left w:type="dxa" w:w="100"/>
              <w:bottom w:type="dxa" w:w="80"/>
              <w:right w:type="dxa" w:w="100"/>
            </w:tcMar>
            <w:vAlign w:val="center"/>
          </w:tcPr>
          <w:p>
            <w:pPr>
              <w:jc w:val="left"/>
            </w:pPr>
            <w:r>
              <w:rPr>
                <w:b w:val="false"/>
                <w:bCs w:val="false"/>
                <w:color w:val="000000"/>
              </w:rPr>
              <w:t xml:space="preserve">Control de acceso por rol.</w:t>
            </w:r>
          </w:p>
        </w:tc>
      </w:tr>
      <w:tr>
        <w:tc>
          <w:tcPr>
            <w:tcW w:type="dxa" w:w="1550"/>
            <w:shd w:fill="FFFFFF" w:val="clear"/>
            <w:tcMar>
              <w:top w:type="dxa" w:w="80"/>
              <w:left w:type="dxa" w:w="100"/>
              <w:bottom w:type="dxa" w:w="80"/>
              <w:right w:type="dxa" w:w="100"/>
            </w:tcMar>
            <w:vAlign w:val="center"/>
          </w:tcPr>
          <w:p>
            <w:pPr>
              <w:jc w:val="left"/>
            </w:pPr>
            <w:r>
              <w:rPr>
                <w:b w:val="false"/>
                <w:bCs w:val="false"/>
                <w:color w:val="000000"/>
              </w:rPr>
              <w:t xml:space="preserve">Confidencial</w:t>
            </w:r>
          </w:p>
        </w:tc>
        <w:tc>
          <w:tcPr>
            <w:tcW w:type="dxa" w:w="2650"/>
            <w:shd w:fill="FFFFFF" w:val="clear"/>
            <w:tcMar>
              <w:top w:type="dxa" w:w="80"/>
              <w:left w:type="dxa" w:w="100"/>
              <w:bottom w:type="dxa" w:w="80"/>
              <w:right w:type="dxa" w:w="100"/>
            </w:tcMar>
            <w:vAlign w:val="center"/>
          </w:tcPr>
          <w:p>
            <w:pPr>
              <w:jc w:val="left"/>
            </w:pPr>
            <w:r>
              <w:rPr>
                <w:b w:val="false"/>
                <w:bCs w:val="false"/>
                <w:color w:val="000000"/>
              </w:rPr>
              <w:t xml:space="preserve">Información cuya divulgación afecta a la organización o a clientes.</w:t>
            </w:r>
          </w:p>
        </w:tc>
        <w:tc>
          <w:tcPr>
            <w:tcW w:type="dxa" w:w="2550"/>
            <w:shd w:fill="FFFFFF" w:val="clear"/>
            <w:tcMar>
              <w:top w:type="dxa" w:w="80"/>
              <w:left w:type="dxa" w:w="100"/>
              <w:bottom w:type="dxa" w:w="80"/>
              <w:right w:type="dxa" w:w="100"/>
            </w:tcMar>
            <w:vAlign w:val="center"/>
          </w:tcPr>
          <w:p>
            <w:pPr>
              <w:jc w:val="left"/>
            </w:pPr>
            <w:r>
              <w:rPr>
                <w:b w:val="false"/>
                <w:bCs w:val="false"/>
                <w:color w:val="000000"/>
              </w:rPr>
              <w:t xml:space="preserve">Datos contractuales, información financiera agregada.</w:t>
            </w:r>
          </w:p>
        </w:tc>
        <w:tc>
          <w:tcPr>
            <w:tcW w:type="dxa" w:w="2600"/>
            <w:shd w:fill="FFFFFF" w:val="clear"/>
            <w:tcMar>
              <w:top w:type="dxa" w:w="80"/>
              <w:left w:type="dxa" w:w="100"/>
              <w:bottom w:type="dxa" w:w="80"/>
              <w:right w:type="dxa" w:w="100"/>
            </w:tcMar>
            <w:vAlign w:val="center"/>
          </w:tcPr>
          <w:p>
            <w:pPr>
              <w:jc w:val="left"/>
            </w:pPr>
            <w:r>
              <w:rPr>
                <w:b w:val="false"/>
                <w:bCs w:val="false"/>
                <w:color w:val="000000"/>
              </w:rPr>
              <w:t xml:space="preserve">Cifrado en tránsito y en reposo, acceso auditado.</w:t>
            </w:r>
          </w:p>
        </w:tc>
      </w:tr>
      <w:tr>
        <w:tc>
          <w:tcPr>
            <w:tcW w:type="dxa" w:w="1550"/>
            <w:shd w:fill="F2F2F2" w:val="clear"/>
            <w:tcMar>
              <w:top w:type="dxa" w:w="80"/>
              <w:left w:type="dxa" w:w="100"/>
              <w:bottom w:type="dxa" w:w="80"/>
              <w:right w:type="dxa" w:w="100"/>
            </w:tcMar>
            <w:vAlign w:val="center"/>
          </w:tcPr>
          <w:p>
            <w:pPr>
              <w:jc w:val="left"/>
            </w:pPr>
            <w:r>
              <w:rPr>
                <w:b w:val="false"/>
                <w:bCs w:val="false"/>
                <w:color w:val="000000"/>
              </w:rPr>
              <w:t xml:space="preserve">Restringido</w:t>
            </w:r>
          </w:p>
        </w:tc>
        <w:tc>
          <w:tcPr>
            <w:tcW w:type="dxa" w:w="2650"/>
            <w:shd w:fill="F2F2F2" w:val="clear"/>
            <w:tcMar>
              <w:top w:type="dxa" w:w="80"/>
              <w:left w:type="dxa" w:w="100"/>
              <w:bottom w:type="dxa" w:w="80"/>
              <w:right w:type="dxa" w:w="100"/>
            </w:tcMar>
            <w:vAlign w:val="center"/>
          </w:tcPr>
          <w:p>
            <w:pPr>
              <w:jc w:val="left"/>
            </w:pPr>
            <w:r>
              <w:rPr>
                <w:b w:val="false"/>
                <w:bCs w:val="false"/>
                <w:color w:val="000000"/>
              </w:rPr>
              <w:t xml:space="preserve">Datos personales o sensibles sujetos a normativa de privacidad.</w:t>
            </w:r>
          </w:p>
        </w:tc>
        <w:tc>
          <w:tcPr>
            <w:tcW w:type="dxa" w:w="2550"/>
            <w:shd w:fill="F2F2F2" w:val="clear"/>
            <w:tcMar>
              <w:top w:type="dxa" w:w="80"/>
              <w:left w:type="dxa" w:w="100"/>
              <w:bottom w:type="dxa" w:w="80"/>
              <w:right w:type="dxa" w:w="100"/>
            </w:tcMar>
            <w:vAlign w:val="center"/>
          </w:tcPr>
          <w:p>
            <w:pPr>
              <w:jc w:val="left"/>
            </w:pPr>
            <w:r>
              <w:rPr>
                <w:b w:val="false"/>
                <w:bCs w:val="false"/>
                <w:color w:val="000000"/>
              </w:rPr>
              <w:t xml:space="preserve">Datos de identificación personal, datos de pago.</w:t>
            </w:r>
          </w:p>
        </w:tc>
        <w:tc>
          <w:tcPr>
            <w:tcW w:type="dxa" w:w="2600"/>
            <w:shd w:fill="F2F2F2" w:val="clear"/>
            <w:tcMar>
              <w:top w:type="dxa" w:w="80"/>
              <w:left w:type="dxa" w:w="100"/>
              <w:bottom w:type="dxa" w:w="80"/>
              <w:right w:type="dxa" w:w="100"/>
            </w:tcMar>
            <w:vAlign w:val="center"/>
          </w:tcPr>
          <w:p>
            <w:pPr>
              <w:jc w:val="left"/>
            </w:pPr>
            <w:r>
              <w:rPr>
                <w:b w:val="false"/>
                <w:bCs w:val="false"/>
                <w:color w:val="000000"/>
              </w:rPr>
              <w:t xml:space="preserve">Cifrado, tokenización, minimización y retención regulada.</w:t>
            </w:r>
          </w:p>
        </w:tc>
      </w:tr>
    </w:tbl>
    <w:p>
      <w:pPr>
        <w:pStyle w:val="Heading2"/>
        <w:spacing w:after="180" w:before="360"/>
      </w:pPr>
      <w:r>
        <w:rPr>
          <w:b/>
          <w:bCs/>
        </w:rPr>
        <w:t xml:space="preserve">6.2. Patrones de Persistencia y Aislamiento (Multitenancy vs. Unitenancy)</w:t>
      </w:r>
    </w:p>
    <w:p>
      <w:pPr>
        <w:spacing w:after="200" w:line="276"/>
      </w:pPr>
      <w:r>
        <w:t xml:space="preserve">La elección entre multitenancy y unitenancy es una decisión arquitectónica explícita por dominio, evaluada según el perfil de cliente y los requisitos regulatorios aplicables.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550"/>
        <w:gridCol w:w="3600"/>
      </w:tblGrid>
      <w:tr>
        <w:trPr>
          <w:tblHeader/>
        </w:trPr>
        <w:tc>
          <w:tcPr>
            <w:tcW w:type="dxa" w:w="2200"/>
            <w:shd w:fill="1F3864" w:val="clear"/>
            <w:tcMar>
              <w:top w:type="dxa" w:w="80"/>
              <w:left w:type="dxa" w:w="100"/>
              <w:bottom w:type="dxa" w:w="80"/>
              <w:right w:type="dxa" w:w="100"/>
            </w:tcMar>
            <w:vAlign w:val="center"/>
          </w:tcPr>
          <w:p>
            <w:pPr>
              <w:jc w:val="left"/>
            </w:pPr>
            <w:r>
              <w:rPr>
                <w:b/>
                <w:bCs/>
                <w:color w:val="FFFFFF"/>
              </w:rPr>
              <w:t xml:space="preserve">Criterio</w:t>
            </w:r>
          </w:p>
        </w:tc>
        <w:tc>
          <w:tcPr>
            <w:tcW w:type="dxa" w:w="3550"/>
            <w:shd w:fill="1F3864" w:val="clear"/>
            <w:tcMar>
              <w:top w:type="dxa" w:w="80"/>
              <w:left w:type="dxa" w:w="100"/>
              <w:bottom w:type="dxa" w:w="80"/>
              <w:right w:type="dxa" w:w="100"/>
            </w:tcMar>
            <w:vAlign w:val="center"/>
          </w:tcPr>
          <w:p>
            <w:pPr>
              <w:jc w:val="left"/>
            </w:pPr>
            <w:r>
              <w:rPr>
                <w:b/>
                <w:bCs/>
                <w:color w:val="FFFFFF"/>
              </w:rPr>
              <w:t xml:space="preserve">Multitenancy</w:t>
            </w:r>
          </w:p>
        </w:tc>
        <w:tc>
          <w:tcPr>
            <w:tcW w:type="dxa" w:w="3600"/>
            <w:shd w:fill="1F3864" w:val="clear"/>
            <w:tcMar>
              <w:top w:type="dxa" w:w="80"/>
              <w:left w:type="dxa" w:w="100"/>
              <w:bottom w:type="dxa" w:w="80"/>
              <w:right w:type="dxa" w:w="100"/>
            </w:tcMar>
            <w:vAlign w:val="center"/>
          </w:tcPr>
          <w:p>
            <w:pPr>
              <w:jc w:val="left"/>
            </w:pPr>
            <w:r>
              <w:rPr>
                <w:b/>
                <w:bCs/>
                <w:color w:val="FFFFFF"/>
              </w:rPr>
              <w:t xml:space="preserve">Unitenancy</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rPr>
              <w:t xml:space="preserve">Aislamiento de datos</w:t>
            </w:r>
          </w:p>
        </w:tc>
        <w:tc>
          <w:tcPr>
            <w:tcW w:type="dxa" w:w="3550"/>
            <w:shd w:fill="FFFFFF" w:val="clear"/>
            <w:tcMar>
              <w:top w:type="dxa" w:w="80"/>
              <w:left w:type="dxa" w:w="100"/>
              <w:bottom w:type="dxa" w:w="80"/>
              <w:right w:type="dxa" w:w="100"/>
            </w:tcMar>
            <w:vAlign w:val="center"/>
          </w:tcPr>
          <w:p>
            <w:pPr>
              <w:jc w:val="left"/>
            </w:pPr>
            <w:r>
              <w:rPr>
                <w:b w:val="false"/>
                <w:bCs w:val="false"/>
                <w:color w:val="000000"/>
              </w:rPr>
              <w:t xml:space="preserve">Lógico, mediante clave de tenant en el modelo de datos.</w:t>
            </w:r>
          </w:p>
        </w:tc>
        <w:tc>
          <w:tcPr>
            <w:tcW w:type="dxa" w:w="3600"/>
            <w:shd w:fill="FFFFFF" w:val="clear"/>
            <w:tcMar>
              <w:top w:type="dxa" w:w="80"/>
              <w:left w:type="dxa" w:w="100"/>
              <w:bottom w:type="dxa" w:w="80"/>
              <w:right w:type="dxa" w:w="100"/>
            </w:tcMar>
            <w:vAlign w:val="center"/>
          </w:tcPr>
          <w:p>
            <w:pPr>
              <w:jc w:val="left"/>
            </w:pPr>
            <w:r>
              <w:rPr>
                <w:b w:val="false"/>
                <w:bCs w:val="false"/>
                <w:color w:val="000000"/>
              </w:rPr>
              <w:t xml:space="preserve">Físico, cada cliente posee su propia instancia de datos.</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rPr>
              <w:t xml:space="preserve">Costo operativo</w:t>
            </w:r>
          </w:p>
        </w:tc>
        <w:tc>
          <w:tcPr>
            <w:tcW w:type="dxa" w:w="3550"/>
            <w:shd w:fill="F2F2F2" w:val="clear"/>
            <w:tcMar>
              <w:top w:type="dxa" w:w="80"/>
              <w:left w:type="dxa" w:w="100"/>
              <w:bottom w:type="dxa" w:w="80"/>
              <w:right w:type="dxa" w:w="100"/>
            </w:tcMar>
            <w:vAlign w:val="center"/>
          </w:tcPr>
          <w:p>
            <w:pPr>
              <w:jc w:val="left"/>
            </w:pPr>
            <w:r>
              <w:rPr>
                <w:b w:val="false"/>
                <w:bCs w:val="false"/>
                <w:color w:val="000000"/>
              </w:rPr>
              <w:t xml:space="preserve">Menor costo por cliente; economías de escala.</w:t>
            </w:r>
          </w:p>
        </w:tc>
        <w:tc>
          <w:tcPr>
            <w:tcW w:type="dxa" w:w="3600"/>
            <w:shd w:fill="F2F2F2" w:val="clear"/>
            <w:tcMar>
              <w:top w:type="dxa" w:w="80"/>
              <w:left w:type="dxa" w:w="100"/>
              <w:bottom w:type="dxa" w:w="80"/>
              <w:right w:type="dxa" w:w="100"/>
            </w:tcMar>
            <w:vAlign w:val="center"/>
          </w:tcPr>
          <w:p>
            <w:pPr>
              <w:jc w:val="left"/>
            </w:pPr>
            <w:r>
              <w:rPr>
                <w:b w:val="false"/>
                <w:bCs w:val="false"/>
                <w:color w:val="000000"/>
              </w:rPr>
              <w:t xml:space="preserve">Mayor costo por cliente; escalado independiente.</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rPr>
              <w:t xml:space="preserve">Personalización</w:t>
            </w:r>
          </w:p>
        </w:tc>
        <w:tc>
          <w:tcPr>
            <w:tcW w:type="dxa" w:w="3550"/>
            <w:shd w:fill="FFFFFF" w:val="clear"/>
            <w:tcMar>
              <w:top w:type="dxa" w:w="80"/>
              <w:left w:type="dxa" w:w="100"/>
              <w:bottom w:type="dxa" w:w="80"/>
              <w:right w:type="dxa" w:w="100"/>
            </w:tcMar>
            <w:vAlign w:val="center"/>
          </w:tcPr>
          <w:p>
            <w:pPr>
              <w:jc w:val="left"/>
            </w:pPr>
            <w:r>
              <w:rPr>
                <w:b w:val="false"/>
                <w:bCs w:val="false"/>
                <w:color w:val="000000"/>
              </w:rPr>
              <w:t xml:space="preserve">Limitada a configuración parametrizable.</w:t>
            </w:r>
          </w:p>
        </w:tc>
        <w:tc>
          <w:tcPr>
            <w:tcW w:type="dxa" w:w="3600"/>
            <w:shd w:fill="FFFFFF" w:val="clear"/>
            <w:tcMar>
              <w:top w:type="dxa" w:w="80"/>
              <w:left w:type="dxa" w:w="100"/>
              <w:bottom w:type="dxa" w:w="80"/>
              <w:right w:type="dxa" w:w="100"/>
            </w:tcMar>
            <w:vAlign w:val="center"/>
          </w:tcPr>
          <w:p>
            <w:pPr>
              <w:jc w:val="left"/>
            </w:pPr>
            <w:r>
              <w:rPr>
                <w:b w:val="false"/>
                <w:bCs w:val="false"/>
                <w:color w:val="000000"/>
              </w:rPr>
              <w:t xml:space="preserve">Alta, incluyendo despliegues dedicados si se requiere.</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rPr>
              <w:t xml:space="preserve">Caso de uso recomendado</w:t>
            </w:r>
          </w:p>
        </w:tc>
        <w:tc>
          <w:tcPr>
            <w:tcW w:type="dxa" w:w="3550"/>
            <w:shd w:fill="F2F2F2" w:val="clear"/>
            <w:tcMar>
              <w:top w:type="dxa" w:w="80"/>
              <w:left w:type="dxa" w:w="100"/>
              <w:bottom w:type="dxa" w:w="80"/>
              <w:right w:type="dxa" w:w="100"/>
            </w:tcMar>
            <w:vAlign w:val="center"/>
          </w:tcPr>
          <w:p>
            <w:pPr>
              <w:jc w:val="left"/>
            </w:pPr>
            <w:r>
              <w:rPr>
                <w:b w:val="false"/>
                <w:bCs w:val="false"/>
                <w:color w:val="000000"/>
              </w:rPr>
              <w:t xml:space="preserve">Productos SaaS de adopción masiva con requisitos homogéneos.</w:t>
            </w:r>
          </w:p>
        </w:tc>
        <w:tc>
          <w:tcPr>
            <w:tcW w:type="dxa" w:w="3600"/>
            <w:shd w:fill="F2F2F2" w:val="clear"/>
            <w:tcMar>
              <w:top w:type="dxa" w:w="80"/>
              <w:left w:type="dxa" w:w="100"/>
              <w:bottom w:type="dxa" w:w="80"/>
              <w:right w:type="dxa" w:w="100"/>
            </w:tcMar>
            <w:vAlign w:val="center"/>
          </w:tcPr>
          <w:p>
            <w:pPr>
              <w:jc w:val="left"/>
            </w:pPr>
            <w:r>
              <w:rPr>
                <w:b w:val="false"/>
                <w:bCs w:val="false"/>
                <w:color w:val="000000"/>
              </w:rPr>
              <w:t xml:space="preserve">Clientes con requisitos regulatorios o contractuales de aislamiento estricto.</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rPr>
              <w:t xml:space="preserve">Decisión por defecto</w:t>
            </w:r>
          </w:p>
        </w:tc>
        <w:tc>
          <w:tcPr>
            <w:tcW w:type="dxa" w:w="3550"/>
            <w:shd w:fill="FFFFFF" w:val="clear"/>
            <w:tcMar>
              <w:top w:type="dxa" w:w="80"/>
              <w:left w:type="dxa" w:w="100"/>
              <w:bottom w:type="dxa" w:w="80"/>
              <w:right w:type="dxa" w:w="100"/>
            </w:tcMar>
            <w:vAlign w:val="center"/>
          </w:tcPr>
          <w:p>
            <w:pPr>
              <w:jc w:val="left"/>
            </w:pPr>
            <w:r>
              <w:rPr>
                <w:b w:val="false"/>
                <w:bCs w:val="false"/>
                <w:color w:val="000000"/>
              </w:rPr>
              <w:t xml:space="preserve">Patrón por defecto para nuevos dominios, salvo justificación en contrario.</w:t>
            </w:r>
          </w:p>
        </w:tc>
        <w:tc>
          <w:tcPr>
            <w:tcW w:type="dxa" w:w="3600"/>
            <w:shd w:fill="FFFFFF" w:val="clear"/>
            <w:tcMar>
              <w:top w:type="dxa" w:w="80"/>
              <w:left w:type="dxa" w:w="100"/>
              <w:bottom w:type="dxa" w:w="80"/>
              <w:right w:type="dxa" w:w="100"/>
            </w:tcMar>
            <w:vAlign w:val="center"/>
          </w:tcPr>
          <w:p>
            <w:pPr>
              <w:jc w:val="left"/>
            </w:pPr>
            <w:r>
              <w:rPr>
                <w:b w:val="false"/>
                <w:bCs w:val="false"/>
                <w:color w:val="000000"/>
              </w:rPr>
              <w:t xml:space="preserve">Requiere aprobación del Comité de Arquitectura.</w:t>
            </w:r>
          </w:p>
        </w:tc>
      </w:tr>
    </w:tbl>
    <w:p>
      <w:pPr>
        <w:pStyle w:val="Heading1"/>
        <w:pageBreakBefore/>
        <w:spacing w:after="240" w:before="480"/>
      </w:pPr>
      <w:r>
        <w:rPr>
          <w:b/>
          <w:bCs/>
        </w:rPr>
        <w:t xml:space="preserve">7. Trazabilidad y Gestión del Ciclo de Vida Tecnológico</w:t>
      </w:r>
    </w:p>
    <w:p>
      <w:pPr>
        <w:spacing w:after="200" w:line="276"/>
      </w:pPr>
      <w:r>
        <w:t xml:space="preserve">Este capítulo establece cómo se monitorea el estado de madurez y soporte de cada tecnología adoptada, y el proceso formal para incorporar nuevas tecnologías al ecosistema objetivo.</w:t>
      </w:r>
    </w:p>
    <w:p>
      <w:pPr>
        <w:pStyle w:val="Heading2"/>
        <w:spacing w:after="180" w:before="360"/>
      </w:pPr>
      <w:r>
        <w:rPr>
          <w:b/>
          <w:bCs/>
        </w:rPr>
        <w:t xml:space="preserve">7.1. Matriz de Obsolescencia Tecnológica</w:t>
      </w:r>
    </w:p>
    <w:p>
      <w:pPr>
        <w:spacing w:after="200" w:line="276"/>
      </w:pPr>
      <w:r>
        <w:t xml:space="preserve">La Oficina de Arquitectura Empresarial mantiene un inventario vivo del estado de cada tecnología en uso, clasificado en tres estados: Vigente, En Transición u Obsoleto. Ninguna tecnología en estado Obsoleto puede utilizarse en nuevos desarrollos.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50"/>
        <w:gridCol w:w="3300"/>
      </w:tblGrid>
      <w:tr>
        <w:trPr>
          <w:tblHeader/>
        </w:trPr>
        <w:tc>
          <w:tcPr>
            <w:tcW w:type="dxa" w:w="2600"/>
            <w:shd w:fill="1F3864" w:val="clear"/>
            <w:tcMar>
              <w:top w:type="dxa" w:w="80"/>
              <w:left w:type="dxa" w:w="100"/>
              <w:bottom w:type="dxa" w:w="80"/>
              <w:right w:type="dxa" w:w="100"/>
            </w:tcMar>
            <w:vAlign w:val="center"/>
          </w:tcPr>
          <w:p>
            <w:pPr>
              <w:jc w:val="left"/>
            </w:pPr>
            <w:r>
              <w:rPr>
                <w:b/>
                <w:bCs/>
                <w:color w:val="FFFFFF"/>
              </w:rPr>
              <w:t xml:space="preserve">Tecnología</w:t>
            </w:r>
          </w:p>
        </w:tc>
        <w:tc>
          <w:tcPr>
            <w:tcW w:type="dxa" w:w="1700"/>
            <w:shd w:fill="1F3864" w:val="clear"/>
            <w:tcMar>
              <w:top w:type="dxa" w:w="80"/>
              <w:left w:type="dxa" w:w="100"/>
              <w:bottom w:type="dxa" w:w="80"/>
              <w:right w:type="dxa" w:w="100"/>
            </w:tcMar>
            <w:vAlign w:val="center"/>
          </w:tcPr>
          <w:p>
            <w:pPr>
              <w:jc w:val="left"/>
            </w:pPr>
            <w:r>
              <w:rPr>
                <w:b/>
                <w:bCs/>
                <w:color w:val="FFFFFF"/>
              </w:rPr>
              <w:t xml:space="preserve">Capa</w:t>
            </w:r>
          </w:p>
        </w:tc>
        <w:tc>
          <w:tcPr>
            <w:tcW w:type="dxa" w:w="1750"/>
            <w:shd w:fill="1F3864" w:val="clear"/>
            <w:tcMar>
              <w:top w:type="dxa" w:w="80"/>
              <w:left w:type="dxa" w:w="100"/>
              <w:bottom w:type="dxa" w:w="80"/>
              <w:right w:type="dxa" w:w="100"/>
            </w:tcMar>
            <w:vAlign w:val="center"/>
          </w:tcPr>
          <w:p>
            <w:pPr>
              <w:jc w:val="center"/>
            </w:pPr>
            <w:r>
              <w:rPr>
                <w:b/>
                <w:bCs/>
                <w:color w:val="FFFFFF"/>
              </w:rPr>
              <w:t xml:space="preserve">Estado</w:t>
            </w:r>
          </w:p>
        </w:tc>
        <w:tc>
          <w:tcPr>
            <w:tcW w:type="dxa" w:w="3300"/>
            <w:shd w:fill="1F3864" w:val="clear"/>
            <w:tcMar>
              <w:top w:type="dxa" w:w="80"/>
              <w:left w:type="dxa" w:w="100"/>
              <w:bottom w:type="dxa" w:w="80"/>
              <w:right w:type="dxa" w:w="100"/>
            </w:tcMar>
            <w:vAlign w:val="center"/>
          </w:tcPr>
          <w:p>
            <w:pPr>
              <w:jc w:val="left"/>
            </w:pPr>
            <w:r>
              <w:rPr>
                <w:b/>
                <w:bCs/>
                <w:color w:val="FFFFFF"/>
              </w:rPr>
              <w:t xml:space="preserve">Fin de Soporte / Acción</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rPr>
              <w:t xml:space="preserve">Kubernetes (EKS/AKS)</w:t>
            </w:r>
          </w:p>
        </w:tc>
        <w:tc>
          <w:tcPr>
            <w:tcW w:type="dxa" w:w="1700"/>
            <w:shd w:fill="FFFFFF" w:val="clear"/>
            <w:tcMar>
              <w:top w:type="dxa" w:w="80"/>
              <w:left w:type="dxa" w:w="100"/>
              <w:bottom w:type="dxa" w:w="80"/>
              <w:right w:type="dxa" w:w="100"/>
            </w:tcMar>
            <w:vAlign w:val="center"/>
          </w:tcPr>
          <w:p>
            <w:pPr>
              <w:jc w:val="left"/>
            </w:pPr>
            <w:r>
              <w:rPr>
                <w:b w:val="false"/>
                <w:bCs w:val="false"/>
                <w:color w:val="000000"/>
              </w:rPr>
              <w:t xml:space="preserve">Plataforma</w:t>
            </w:r>
          </w:p>
        </w:tc>
        <w:tc>
          <w:tcPr>
            <w:tcW w:type="dxa" w:w="1750"/>
            <w:shd w:fill="E2EFDA" w:val="clear"/>
            <w:tcMar>
              <w:top w:type="dxa" w:w="80"/>
              <w:left w:type="dxa" w:w="100"/>
              <w:bottom w:type="dxa" w:w="80"/>
              <w:right w:type="dxa" w:w="100"/>
            </w:tcMar>
            <w:vAlign w:val="center"/>
          </w:tcPr>
          <w:p>
            <w:pPr>
              <w:jc w:val="center"/>
            </w:pPr>
            <w:r>
              <w:rPr>
                <w:b/>
                <w:bCs/>
                <w:color w:val="375623"/>
              </w:rPr>
              <w:t xml:space="preserve">Vigente</w:t>
            </w:r>
          </w:p>
        </w:tc>
        <w:tc>
          <w:tcPr>
            <w:tcW w:type="dxa" w:w="3300"/>
            <w:shd w:fill="FFFFFF" w:val="clear"/>
            <w:tcMar>
              <w:top w:type="dxa" w:w="80"/>
              <w:left w:type="dxa" w:w="100"/>
              <w:bottom w:type="dxa" w:w="80"/>
              <w:right w:type="dxa" w:w="100"/>
            </w:tcMar>
            <w:vAlign w:val="center"/>
          </w:tcPr>
          <w:p>
            <w:pPr>
              <w:jc w:val="left"/>
            </w:pPr>
            <w:r>
              <w:rPr>
                <w:b w:val="false"/>
                <w:bCs w:val="false"/>
                <w:color w:val="000000"/>
              </w:rPr>
              <w:t xml:space="preserve">Sin cambios previstos; versión mínima soportada N-2.</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rPr>
              <w:t xml:space="preserve">React 18+</w:t>
            </w:r>
          </w:p>
        </w:tc>
        <w:tc>
          <w:tcPr>
            <w:tcW w:type="dxa" w:w="1700"/>
            <w:shd w:fill="F2F2F2" w:val="clear"/>
            <w:tcMar>
              <w:top w:type="dxa" w:w="80"/>
              <w:left w:type="dxa" w:w="100"/>
              <w:bottom w:type="dxa" w:w="80"/>
              <w:right w:type="dxa" w:w="100"/>
            </w:tcMar>
            <w:vAlign w:val="center"/>
          </w:tcPr>
          <w:p>
            <w:pPr>
              <w:jc w:val="left"/>
            </w:pPr>
            <w:r>
              <w:rPr>
                <w:b w:val="false"/>
                <w:bCs w:val="false"/>
                <w:color w:val="000000"/>
              </w:rPr>
              <w:t xml:space="preserve">Presentación</w:t>
            </w:r>
          </w:p>
        </w:tc>
        <w:tc>
          <w:tcPr>
            <w:tcW w:type="dxa" w:w="1750"/>
            <w:shd w:fill="E2EFDA" w:val="clear"/>
            <w:tcMar>
              <w:top w:type="dxa" w:w="80"/>
              <w:left w:type="dxa" w:w="100"/>
              <w:bottom w:type="dxa" w:w="80"/>
              <w:right w:type="dxa" w:w="100"/>
            </w:tcMar>
            <w:vAlign w:val="center"/>
          </w:tcPr>
          <w:p>
            <w:pPr>
              <w:jc w:val="center"/>
            </w:pPr>
            <w:r>
              <w:rPr>
                <w:b/>
                <w:bCs/>
                <w:color w:val="375623"/>
              </w:rPr>
              <w:t xml:space="preserve">Vigente</w:t>
            </w:r>
          </w:p>
        </w:tc>
        <w:tc>
          <w:tcPr>
            <w:tcW w:type="dxa" w:w="3300"/>
            <w:shd w:fill="F2F2F2" w:val="clear"/>
            <w:tcMar>
              <w:top w:type="dxa" w:w="80"/>
              <w:left w:type="dxa" w:w="100"/>
              <w:bottom w:type="dxa" w:w="80"/>
              <w:right w:type="dxa" w:w="100"/>
            </w:tcMar>
            <w:vAlign w:val="center"/>
          </w:tcPr>
          <w:p>
            <w:pPr>
              <w:jc w:val="left"/>
            </w:pPr>
            <w:r>
              <w:rPr>
                <w:b w:val="false"/>
                <w:bCs w:val="false"/>
                <w:color w:val="000000"/>
              </w:rPr>
              <w:t xml:space="preserve">Adopción estándar para nuevas interfaces.</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rPr>
              <w:t xml:space="preserve">GitLab Ultimate</w:t>
            </w:r>
          </w:p>
        </w:tc>
        <w:tc>
          <w:tcPr>
            <w:tcW w:type="dxa" w:w="1700"/>
            <w:shd w:fill="FFFFFF" w:val="clear"/>
            <w:tcMar>
              <w:top w:type="dxa" w:w="80"/>
              <w:left w:type="dxa" w:w="100"/>
              <w:bottom w:type="dxa" w:w="80"/>
              <w:right w:type="dxa" w:w="100"/>
            </w:tcMar>
            <w:vAlign w:val="center"/>
          </w:tcPr>
          <w:p>
            <w:pPr>
              <w:jc w:val="left"/>
            </w:pPr>
            <w:r>
              <w:rPr>
                <w:b w:val="false"/>
                <w:bCs w:val="false"/>
                <w:color w:val="000000"/>
              </w:rPr>
              <w:t xml:space="preserve">Plataforma</w:t>
            </w:r>
          </w:p>
        </w:tc>
        <w:tc>
          <w:tcPr>
            <w:tcW w:type="dxa" w:w="1750"/>
            <w:shd w:fill="E2EFDA" w:val="clear"/>
            <w:tcMar>
              <w:top w:type="dxa" w:w="80"/>
              <w:left w:type="dxa" w:w="100"/>
              <w:bottom w:type="dxa" w:w="80"/>
              <w:right w:type="dxa" w:w="100"/>
            </w:tcMar>
            <w:vAlign w:val="center"/>
          </w:tcPr>
          <w:p>
            <w:pPr>
              <w:jc w:val="center"/>
            </w:pPr>
            <w:r>
              <w:rPr>
                <w:b/>
                <w:bCs/>
                <w:color w:val="375623"/>
              </w:rPr>
              <w:t xml:space="preserve">Vigente</w:t>
            </w:r>
          </w:p>
        </w:tc>
        <w:tc>
          <w:tcPr>
            <w:tcW w:type="dxa" w:w="3300"/>
            <w:shd w:fill="FFFFFF" w:val="clear"/>
            <w:tcMar>
              <w:top w:type="dxa" w:w="80"/>
              <w:left w:type="dxa" w:w="100"/>
              <w:bottom w:type="dxa" w:w="80"/>
              <w:right w:type="dxa" w:w="100"/>
            </w:tcMar>
            <w:vAlign w:val="center"/>
          </w:tcPr>
          <w:p>
            <w:pPr>
              <w:jc w:val="left"/>
            </w:pPr>
            <w:r>
              <w:rPr>
                <w:b w:val="false"/>
                <w:bCs w:val="false"/>
                <w:color w:val="000000"/>
              </w:rPr>
              <w:t xml:space="preserve">Plataforma central de CI/CD; renovación de licencia anual.</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rPr>
              <w:t xml:space="preserve">AngularJS (1.x)</w:t>
            </w:r>
          </w:p>
        </w:tc>
        <w:tc>
          <w:tcPr>
            <w:tcW w:type="dxa" w:w="1700"/>
            <w:shd w:fill="F2F2F2" w:val="clear"/>
            <w:tcMar>
              <w:top w:type="dxa" w:w="80"/>
              <w:left w:type="dxa" w:w="100"/>
              <w:bottom w:type="dxa" w:w="80"/>
              <w:right w:type="dxa" w:w="100"/>
            </w:tcMar>
            <w:vAlign w:val="center"/>
          </w:tcPr>
          <w:p>
            <w:pPr>
              <w:jc w:val="left"/>
            </w:pPr>
            <w:r>
              <w:rPr>
                <w:b w:val="false"/>
                <w:bCs w:val="false"/>
                <w:color w:val="000000"/>
              </w:rPr>
              <w:t xml:space="preserve">Presentación</w:t>
            </w:r>
          </w:p>
        </w:tc>
        <w:tc>
          <w:tcPr>
            <w:tcW w:type="dxa" w:w="1750"/>
            <w:shd w:fill="FCE4E4" w:val="clear"/>
            <w:tcMar>
              <w:top w:type="dxa" w:w="80"/>
              <w:left w:type="dxa" w:w="100"/>
              <w:bottom w:type="dxa" w:w="80"/>
              <w:right w:type="dxa" w:w="100"/>
            </w:tcMar>
            <w:vAlign w:val="center"/>
          </w:tcPr>
          <w:p>
            <w:pPr>
              <w:jc w:val="center"/>
            </w:pPr>
            <w:r>
              <w:rPr>
                <w:b/>
                <w:bCs/>
                <w:color w:val="C00000"/>
              </w:rPr>
              <w:t xml:space="preserve">Obsoleto</w:t>
            </w:r>
          </w:p>
        </w:tc>
        <w:tc>
          <w:tcPr>
            <w:tcW w:type="dxa" w:w="3300"/>
            <w:shd w:fill="F2F2F2" w:val="clear"/>
            <w:tcMar>
              <w:top w:type="dxa" w:w="80"/>
              <w:left w:type="dxa" w:w="100"/>
              <w:bottom w:type="dxa" w:w="80"/>
              <w:right w:type="dxa" w:w="100"/>
            </w:tcMar>
            <w:vAlign w:val="center"/>
          </w:tcPr>
          <w:p>
            <w:pPr>
              <w:jc w:val="left"/>
            </w:pPr>
            <w:r>
              <w:rPr>
                <w:b w:val="false"/>
                <w:bCs w:val="false"/>
                <w:color w:val="000000"/>
              </w:rPr>
              <w:t xml:space="preserve">Fin de soporte comunitario. Migración obligatoria a React antes de Q2 2027.</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rPr>
              <w:t xml:space="preserve">Servidores de aplicación monolíticos (WebLogic/JBoss)</w:t>
            </w:r>
          </w:p>
        </w:tc>
        <w:tc>
          <w:tcPr>
            <w:tcW w:type="dxa" w:w="1700"/>
            <w:shd w:fill="FFFFFF" w:val="clear"/>
            <w:tcMar>
              <w:top w:type="dxa" w:w="80"/>
              <w:left w:type="dxa" w:w="100"/>
              <w:bottom w:type="dxa" w:w="80"/>
              <w:right w:type="dxa" w:w="100"/>
            </w:tcMar>
            <w:vAlign w:val="center"/>
          </w:tcPr>
          <w:p>
            <w:pPr>
              <w:jc w:val="left"/>
            </w:pPr>
            <w:r>
              <w:rPr>
                <w:b w:val="false"/>
                <w:bCs w:val="false"/>
                <w:color w:val="000000"/>
              </w:rPr>
              <w:t xml:space="preserve">Negocio</w:t>
            </w:r>
          </w:p>
        </w:tc>
        <w:tc>
          <w:tcPr>
            <w:tcW w:type="dxa" w:w="1750"/>
            <w:shd w:fill="FFF2CC" w:val="clear"/>
            <w:tcMar>
              <w:top w:type="dxa" w:w="80"/>
              <w:left w:type="dxa" w:w="100"/>
              <w:bottom w:type="dxa" w:w="80"/>
              <w:right w:type="dxa" w:w="100"/>
            </w:tcMar>
            <w:vAlign w:val="center"/>
          </w:tcPr>
          <w:p>
            <w:pPr>
              <w:jc w:val="center"/>
            </w:pPr>
            <w:r>
              <w:rPr>
                <w:b/>
                <w:bCs/>
                <w:color w:val="7F6000"/>
              </w:rPr>
              <w:t xml:space="preserve">En Transición</w:t>
            </w:r>
          </w:p>
        </w:tc>
        <w:tc>
          <w:tcPr>
            <w:tcW w:type="dxa" w:w="3300"/>
            <w:shd w:fill="FFFFFF" w:val="clear"/>
            <w:tcMar>
              <w:top w:type="dxa" w:w="80"/>
              <w:left w:type="dxa" w:w="100"/>
              <w:bottom w:type="dxa" w:w="80"/>
              <w:right w:type="dxa" w:w="100"/>
            </w:tcMar>
            <w:vAlign w:val="center"/>
          </w:tcPr>
          <w:p>
            <w:pPr>
              <w:jc w:val="left"/>
            </w:pPr>
            <w:r>
              <w:rPr>
                <w:b w:val="false"/>
                <w:bCs w:val="false"/>
                <w:color w:val="000000"/>
              </w:rPr>
              <w:t xml:space="preserve">Descomposición a microservicios en curso; sin nuevos desarrollos sobre esta base.</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rPr>
              <w:t xml:space="preserve">Bases de datos Oracle on-premise (licenciamiento legado)</w:t>
            </w:r>
          </w:p>
        </w:tc>
        <w:tc>
          <w:tcPr>
            <w:tcW w:type="dxa" w:w="1700"/>
            <w:shd w:fill="F2F2F2" w:val="clear"/>
            <w:tcMar>
              <w:top w:type="dxa" w:w="80"/>
              <w:left w:type="dxa" w:w="100"/>
              <w:bottom w:type="dxa" w:w="80"/>
              <w:right w:type="dxa" w:w="100"/>
            </w:tcMar>
            <w:vAlign w:val="center"/>
          </w:tcPr>
          <w:p>
            <w:pPr>
              <w:jc w:val="left"/>
            </w:pPr>
            <w:r>
              <w:rPr>
                <w:b w:val="false"/>
                <w:bCs w:val="false"/>
                <w:color w:val="000000"/>
              </w:rPr>
              <w:t xml:space="preserve">Datos</w:t>
            </w:r>
          </w:p>
        </w:tc>
        <w:tc>
          <w:tcPr>
            <w:tcW w:type="dxa" w:w="1750"/>
            <w:shd w:fill="FFF2CC" w:val="clear"/>
            <w:tcMar>
              <w:top w:type="dxa" w:w="80"/>
              <w:left w:type="dxa" w:w="100"/>
              <w:bottom w:type="dxa" w:w="80"/>
              <w:right w:type="dxa" w:w="100"/>
            </w:tcMar>
            <w:vAlign w:val="center"/>
          </w:tcPr>
          <w:p>
            <w:pPr>
              <w:jc w:val="center"/>
            </w:pPr>
            <w:r>
              <w:rPr>
                <w:b/>
                <w:bCs/>
                <w:color w:val="7F6000"/>
              </w:rPr>
              <w:t xml:space="preserve">En Transición</w:t>
            </w:r>
          </w:p>
        </w:tc>
        <w:tc>
          <w:tcPr>
            <w:tcW w:type="dxa" w:w="3300"/>
            <w:shd w:fill="F2F2F2" w:val="clear"/>
            <w:tcMar>
              <w:top w:type="dxa" w:w="80"/>
              <w:left w:type="dxa" w:w="100"/>
              <w:bottom w:type="dxa" w:w="80"/>
              <w:right w:type="dxa" w:w="100"/>
            </w:tcMar>
            <w:vAlign w:val="center"/>
          </w:tcPr>
          <w:p>
            <w:pPr>
              <w:jc w:val="left"/>
            </w:pPr>
            <w:r>
              <w:rPr>
                <w:b w:val="false"/>
                <w:bCs w:val="false"/>
                <w:color w:val="000000"/>
              </w:rPr>
              <w:t xml:space="preserve">Migración progresiva a PostgreSQL gestionado; congelado para nuevos proyectos.</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rPr>
              <w:t xml:space="preserve">SOAP / XML-RPC</w:t>
            </w:r>
          </w:p>
        </w:tc>
        <w:tc>
          <w:tcPr>
            <w:tcW w:type="dxa" w:w="1700"/>
            <w:shd w:fill="FFFFFF" w:val="clear"/>
            <w:tcMar>
              <w:top w:type="dxa" w:w="80"/>
              <w:left w:type="dxa" w:w="100"/>
              <w:bottom w:type="dxa" w:w="80"/>
              <w:right w:type="dxa" w:w="100"/>
            </w:tcMar>
            <w:vAlign w:val="center"/>
          </w:tcPr>
          <w:p>
            <w:pPr>
              <w:jc w:val="left"/>
            </w:pPr>
            <w:r>
              <w:rPr>
                <w:b w:val="false"/>
                <w:bCs w:val="false"/>
                <w:color w:val="000000"/>
              </w:rPr>
              <w:t xml:space="preserve">Integración</w:t>
            </w:r>
          </w:p>
        </w:tc>
        <w:tc>
          <w:tcPr>
            <w:tcW w:type="dxa" w:w="1750"/>
            <w:shd w:fill="FCE4E4" w:val="clear"/>
            <w:tcMar>
              <w:top w:type="dxa" w:w="80"/>
              <w:left w:type="dxa" w:w="100"/>
              <w:bottom w:type="dxa" w:w="80"/>
              <w:right w:type="dxa" w:w="100"/>
            </w:tcMar>
            <w:vAlign w:val="center"/>
          </w:tcPr>
          <w:p>
            <w:pPr>
              <w:jc w:val="center"/>
            </w:pPr>
            <w:r>
              <w:rPr>
                <w:b/>
                <w:bCs/>
                <w:color w:val="C00000"/>
              </w:rPr>
              <w:t xml:space="preserve">Obsoleto</w:t>
            </w:r>
          </w:p>
        </w:tc>
        <w:tc>
          <w:tcPr>
            <w:tcW w:type="dxa" w:w="3300"/>
            <w:shd w:fill="FFFFFF" w:val="clear"/>
            <w:tcMar>
              <w:top w:type="dxa" w:w="80"/>
              <w:left w:type="dxa" w:w="100"/>
              <w:bottom w:type="dxa" w:w="80"/>
              <w:right w:type="dxa" w:w="100"/>
            </w:tcMar>
            <w:vAlign w:val="center"/>
          </w:tcPr>
          <w:p>
            <w:pPr>
              <w:jc w:val="left"/>
            </w:pPr>
            <w:r>
              <w:rPr>
                <w:b w:val="false"/>
                <w:bCs w:val="false"/>
                <w:color w:val="000000"/>
              </w:rPr>
              <w:t xml:space="preserve">Prohibido para nuevas integraciones; reemplazo por REST o eventos.</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rPr>
              <w:t xml:space="preserve">Jenkins (pipelines legados)</w:t>
            </w:r>
          </w:p>
        </w:tc>
        <w:tc>
          <w:tcPr>
            <w:tcW w:type="dxa" w:w="1700"/>
            <w:shd w:fill="F2F2F2" w:val="clear"/>
            <w:tcMar>
              <w:top w:type="dxa" w:w="80"/>
              <w:left w:type="dxa" w:w="100"/>
              <w:bottom w:type="dxa" w:w="80"/>
              <w:right w:type="dxa" w:w="100"/>
            </w:tcMar>
            <w:vAlign w:val="center"/>
          </w:tcPr>
          <w:p>
            <w:pPr>
              <w:jc w:val="left"/>
            </w:pPr>
            <w:r>
              <w:rPr>
                <w:b w:val="false"/>
                <w:bCs w:val="false"/>
                <w:color w:val="000000"/>
              </w:rPr>
              <w:t xml:space="preserve">Plataforma</w:t>
            </w:r>
          </w:p>
        </w:tc>
        <w:tc>
          <w:tcPr>
            <w:tcW w:type="dxa" w:w="1750"/>
            <w:shd w:fill="FFF2CC" w:val="clear"/>
            <w:tcMar>
              <w:top w:type="dxa" w:w="80"/>
              <w:left w:type="dxa" w:w="100"/>
              <w:bottom w:type="dxa" w:w="80"/>
              <w:right w:type="dxa" w:w="100"/>
            </w:tcMar>
            <w:vAlign w:val="center"/>
          </w:tcPr>
          <w:p>
            <w:pPr>
              <w:jc w:val="center"/>
            </w:pPr>
            <w:r>
              <w:rPr>
                <w:b/>
                <w:bCs/>
                <w:color w:val="7F6000"/>
              </w:rPr>
              <w:t xml:space="preserve">En Transición</w:t>
            </w:r>
          </w:p>
        </w:tc>
        <w:tc>
          <w:tcPr>
            <w:tcW w:type="dxa" w:w="3300"/>
            <w:shd w:fill="F2F2F2" w:val="clear"/>
            <w:tcMar>
              <w:top w:type="dxa" w:w="80"/>
              <w:left w:type="dxa" w:w="100"/>
              <w:bottom w:type="dxa" w:w="80"/>
              <w:right w:type="dxa" w:w="100"/>
            </w:tcMar>
            <w:vAlign w:val="center"/>
          </w:tcPr>
          <w:p>
            <w:pPr>
              <w:jc w:val="left"/>
            </w:pPr>
            <w:r>
              <w:rPr>
                <w:b w:val="false"/>
                <w:bCs w:val="false"/>
                <w:color w:val="000000"/>
              </w:rPr>
              <w:t xml:space="preserve">Migración a GitLab CI/CD; retiro programado para fin de 2026.</w:t>
            </w:r>
          </w:p>
        </w:tc>
      </w:tr>
    </w:tbl>
    <w:p>
      <w:pPr>
        <w:pStyle w:val="Heading2"/>
        <w:spacing w:after="180" w:before="360"/>
      </w:pPr>
      <w:r>
        <w:rPr>
          <w:b/>
          <w:bCs/>
        </w:rPr>
        <w:t xml:space="preserve">7.2. Proceso de Evaluación e Incorporación de Nuevas Tecnologías</w:t>
      </w:r>
    </w:p>
    <w:p>
      <w:pPr>
        <w:spacing w:after="200" w:line="276"/>
      </w:pPr>
      <w:r>
        <w:t xml:space="preserve">Toda tecnología que no forme parte del ecosistema objetivo (capítulo 4) debe superar el siguiente proceso de evaluación antes de utilizarse en un desarrollo productivo: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4700"/>
        <w:gridCol w:w="2850"/>
      </w:tblGrid>
      <w:tr>
        <w:trPr>
          <w:tblHeader/>
        </w:trPr>
        <w:tc>
          <w:tcPr>
            <w:tcW w:type="dxa" w:w="1800"/>
            <w:shd w:fill="1F3864" w:val="clear"/>
            <w:tcMar>
              <w:top w:type="dxa" w:w="80"/>
              <w:left w:type="dxa" w:w="100"/>
              <w:bottom w:type="dxa" w:w="80"/>
              <w:right w:type="dxa" w:w="100"/>
            </w:tcMar>
            <w:vAlign w:val="center"/>
          </w:tcPr>
          <w:p>
            <w:pPr>
              <w:jc w:val="left"/>
            </w:pPr>
            <w:r>
              <w:rPr>
                <w:b/>
                <w:bCs/>
                <w:color w:val="FFFFFF"/>
              </w:rPr>
              <w:t xml:space="preserve">Etapa</w:t>
            </w:r>
          </w:p>
        </w:tc>
        <w:tc>
          <w:tcPr>
            <w:tcW w:type="dxa" w:w="4700"/>
            <w:shd w:fill="1F3864" w:val="clear"/>
            <w:tcMar>
              <w:top w:type="dxa" w:w="80"/>
              <w:left w:type="dxa" w:w="100"/>
              <w:bottom w:type="dxa" w:w="80"/>
              <w:right w:type="dxa" w:w="100"/>
            </w:tcMar>
            <w:vAlign w:val="center"/>
          </w:tcPr>
          <w:p>
            <w:pPr>
              <w:jc w:val="left"/>
            </w:pPr>
            <w:r>
              <w:rPr>
                <w:b/>
                <w:bCs/>
                <w:color w:val="FFFFFF"/>
              </w:rPr>
              <w:t xml:space="preserve">Descripción</w:t>
            </w:r>
          </w:p>
        </w:tc>
        <w:tc>
          <w:tcPr>
            <w:tcW w:type="dxa" w:w="2850"/>
            <w:shd w:fill="1F3864" w:val="clear"/>
            <w:tcMar>
              <w:top w:type="dxa" w:w="80"/>
              <w:left w:type="dxa" w:w="100"/>
              <w:bottom w:type="dxa" w:w="80"/>
              <w:right w:type="dxa" w:w="100"/>
            </w:tcMar>
            <w:vAlign w:val="center"/>
          </w:tcPr>
          <w:p>
            <w:pPr>
              <w:jc w:val="left"/>
            </w:pPr>
            <w:r>
              <w:rPr>
                <w:b/>
                <w:bCs/>
                <w:color w:val="FFFFFF"/>
              </w:rPr>
              <w:t xml:space="preserve">Responsable</w:t>
            </w:r>
          </w:p>
        </w:tc>
      </w:tr>
      <w:tr>
        <w:tc>
          <w:tcPr>
            <w:tcW w:type="dxa" w:w="1800"/>
            <w:shd w:fill="FFFFFF" w:val="clear"/>
            <w:tcMar>
              <w:top w:type="dxa" w:w="80"/>
              <w:left w:type="dxa" w:w="100"/>
              <w:bottom w:type="dxa" w:w="80"/>
              <w:right w:type="dxa" w:w="100"/>
            </w:tcMar>
            <w:vAlign w:val="center"/>
          </w:tcPr>
          <w:p>
            <w:pPr>
              <w:jc w:val="left"/>
            </w:pPr>
            <w:r>
              <w:rPr>
                <w:b w:val="false"/>
                <w:bCs w:val="false"/>
                <w:color w:val="000000"/>
              </w:rPr>
              <w:t xml:space="preserve">1. Propuesta</w:t>
            </w:r>
          </w:p>
        </w:tc>
        <w:tc>
          <w:tcPr>
            <w:tcW w:type="dxa" w:w="4700"/>
            <w:shd w:fill="FFFFFF" w:val="clear"/>
            <w:tcMar>
              <w:top w:type="dxa" w:w="80"/>
              <w:left w:type="dxa" w:w="100"/>
              <w:bottom w:type="dxa" w:w="80"/>
              <w:right w:type="dxa" w:w="100"/>
            </w:tcMar>
            <w:vAlign w:val="center"/>
          </w:tcPr>
          <w:p>
            <w:pPr>
              <w:jc w:val="left"/>
            </w:pPr>
            <w:r>
              <w:rPr>
                <w:b w:val="false"/>
                <w:bCs w:val="false"/>
                <w:color w:val="000000"/>
              </w:rPr>
              <w:t xml:space="preserve">Cualquier equipo puede proponer una nueva tecnología mediante una ficha técnica estandarizada (problema, alternativas evaluadas, riesgos).</w:t>
            </w:r>
          </w:p>
        </w:tc>
        <w:tc>
          <w:tcPr>
            <w:tcW w:type="dxa" w:w="2850"/>
            <w:shd w:fill="FFFFFF" w:val="clear"/>
            <w:tcMar>
              <w:top w:type="dxa" w:w="80"/>
              <w:left w:type="dxa" w:w="100"/>
              <w:bottom w:type="dxa" w:w="80"/>
              <w:right w:type="dxa" w:w="100"/>
            </w:tcMar>
            <w:vAlign w:val="center"/>
          </w:tcPr>
          <w:p>
            <w:pPr>
              <w:jc w:val="left"/>
            </w:pPr>
            <w:r>
              <w:rPr>
                <w:b w:val="false"/>
                <w:bCs w:val="false"/>
                <w:color w:val="000000"/>
              </w:rPr>
              <w:t xml:space="preserve">Equipo proponente</w:t>
            </w:r>
          </w:p>
        </w:tc>
      </w:tr>
      <w:tr>
        <w:tc>
          <w:tcPr>
            <w:tcW w:type="dxa" w:w="1800"/>
            <w:shd w:fill="F2F2F2" w:val="clear"/>
            <w:tcMar>
              <w:top w:type="dxa" w:w="80"/>
              <w:left w:type="dxa" w:w="100"/>
              <w:bottom w:type="dxa" w:w="80"/>
              <w:right w:type="dxa" w:w="100"/>
            </w:tcMar>
            <w:vAlign w:val="center"/>
          </w:tcPr>
          <w:p>
            <w:pPr>
              <w:jc w:val="left"/>
            </w:pPr>
            <w:r>
              <w:rPr>
                <w:b w:val="false"/>
                <w:bCs w:val="false"/>
                <w:color w:val="000000"/>
              </w:rPr>
              <w:t xml:space="preserve">2. Evaluación técnica</w:t>
            </w:r>
          </w:p>
        </w:tc>
        <w:tc>
          <w:tcPr>
            <w:tcW w:type="dxa" w:w="4700"/>
            <w:shd w:fill="F2F2F2" w:val="clear"/>
            <w:tcMar>
              <w:top w:type="dxa" w:w="80"/>
              <w:left w:type="dxa" w:w="100"/>
              <w:bottom w:type="dxa" w:w="80"/>
              <w:right w:type="dxa" w:w="100"/>
            </w:tcMar>
            <w:vAlign w:val="center"/>
          </w:tcPr>
          <w:p>
            <w:pPr>
              <w:jc w:val="left"/>
            </w:pPr>
            <w:r>
              <w:rPr>
                <w:b w:val="false"/>
                <w:bCs w:val="false"/>
                <w:color w:val="000000"/>
              </w:rPr>
              <w:t xml:space="preserve">Prueba de concepto acotada en ambiente aislado, con criterios objetivos de madurez, soporte y curva de adopción.</w:t>
            </w:r>
          </w:p>
        </w:tc>
        <w:tc>
          <w:tcPr>
            <w:tcW w:type="dxa" w:w="2850"/>
            <w:shd w:fill="F2F2F2" w:val="clear"/>
            <w:tcMar>
              <w:top w:type="dxa" w:w="80"/>
              <w:left w:type="dxa" w:w="100"/>
              <w:bottom w:type="dxa" w:w="80"/>
              <w:right w:type="dxa" w:w="100"/>
            </w:tcMar>
            <w:vAlign w:val="center"/>
          </w:tcPr>
          <w:p>
            <w:pPr>
              <w:jc w:val="left"/>
            </w:pPr>
            <w:r>
              <w:rPr>
                <w:b w:val="false"/>
                <w:bCs w:val="false"/>
                <w:color w:val="000000"/>
              </w:rPr>
              <w:t xml:space="preserve">Arquitectura Empresarial</w:t>
            </w:r>
          </w:p>
        </w:tc>
      </w:tr>
      <w:tr>
        <w:tc>
          <w:tcPr>
            <w:tcW w:type="dxa" w:w="1800"/>
            <w:shd w:fill="FFFFFF" w:val="clear"/>
            <w:tcMar>
              <w:top w:type="dxa" w:w="80"/>
              <w:left w:type="dxa" w:w="100"/>
              <w:bottom w:type="dxa" w:w="80"/>
              <w:right w:type="dxa" w:w="100"/>
            </w:tcMar>
            <w:vAlign w:val="center"/>
          </w:tcPr>
          <w:p>
            <w:pPr>
              <w:jc w:val="left"/>
            </w:pPr>
            <w:r>
              <w:rPr>
                <w:b w:val="false"/>
                <w:bCs w:val="false"/>
                <w:color w:val="000000"/>
              </w:rPr>
              <w:t xml:space="preserve">3. Revisión de seguridad</w:t>
            </w:r>
          </w:p>
        </w:tc>
        <w:tc>
          <w:tcPr>
            <w:tcW w:type="dxa" w:w="4700"/>
            <w:shd w:fill="FFFFFF" w:val="clear"/>
            <w:tcMar>
              <w:top w:type="dxa" w:w="80"/>
              <w:left w:type="dxa" w:w="100"/>
              <w:bottom w:type="dxa" w:w="80"/>
              <w:right w:type="dxa" w:w="100"/>
            </w:tcMar>
            <w:vAlign w:val="center"/>
          </w:tcPr>
          <w:p>
            <w:pPr>
              <w:jc w:val="left"/>
            </w:pPr>
            <w:r>
              <w:rPr>
                <w:b w:val="false"/>
                <w:bCs w:val="false"/>
                <w:color w:val="000000"/>
              </w:rPr>
              <w:t xml:space="preserve">Evaluación de superficie de ataque, licenciamiento y cumplimiento normativo.</w:t>
            </w:r>
          </w:p>
        </w:tc>
        <w:tc>
          <w:tcPr>
            <w:tcW w:type="dxa" w:w="2850"/>
            <w:shd w:fill="FFFFFF" w:val="clear"/>
            <w:tcMar>
              <w:top w:type="dxa" w:w="80"/>
              <w:left w:type="dxa" w:w="100"/>
              <w:bottom w:type="dxa" w:w="80"/>
              <w:right w:type="dxa" w:w="100"/>
            </w:tcMar>
            <w:vAlign w:val="center"/>
          </w:tcPr>
          <w:p>
            <w:pPr>
              <w:jc w:val="left"/>
            </w:pPr>
            <w:r>
              <w:rPr>
                <w:b w:val="false"/>
                <w:bCs w:val="false"/>
                <w:color w:val="000000"/>
              </w:rPr>
              <w:t xml:space="preserve">Seguridad de la Información</w:t>
            </w:r>
          </w:p>
        </w:tc>
      </w:tr>
      <w:tr>
        <w:tc>
          <w:tcPr>
            <w:tcW w:type="dxa" w:w="1800"/>
            <w:shd w:fill="F2F2F2" w:val="clear"/>
            <w:tcMar>
              <w:top w:type="dxa" w:w="80"/>
              <w:left w:type="dxa" w:w="100"/>
              <w:bottom w:type="dxa" w:w="80"/>
              <w:right w:type="dxa" w:w="100"/>
            </w:tcMar>
            <w:vAlign w:val="center"/>
          </w:tcPr>
          <w:p>
            <w:pPr>
              <w:jc w:val="left"/>
            </w:pPr>
            <w:r>
              <w:rPr>
                <w:b w:val="false"/>
                <w:bCs w:val="false"/>
                <w:color w:val="000000"/>
              </w:rPr>
              <w:t xml:space="preserve">4. Decisión</w:t>
            </w:r>
          </w:p>
        </w:tc>
        <w:tc>
          <w:tcPr>
            <w:tcW w:type="dxa" w:w="4700"/>
            <w:shd w:fill="F2F2F2" w:val="clear"/>
            <w:tcMar>
              <w:top w:type="dxa" w:w="80"/>
              <w:left w:type="dxa" w:w="100"/>
              <w:bottom w:type="dxa" w:w="80"/>
              <w:right w:type="dxa" w:w="100"/>
            </w:tcMar>
            <w:vAlign w:val="center"/>
          </w:tcPr>
          <w:p>
            <w:pPr>
              <w:jc w:val="left"/>
            </w:pPr>
            <w:r>
              <w:rPr>
                <w:b w:val="false"/>
                <w:bCs w:val="false"/>
                <w:color w:val="000000"/>
              </w:rPr>
              <w:t xml:space="preserve">Aprobación, aprobación condicionada (piloto controlado) o rechazo, documentada en el radar tecnológico.</w:t>
            </w:r>
          </w:p>
        </w:tc>
        <w:tc>
          <w:tcPr>
            <w:tcW w:type="dxa" w:w="2850"/>
            <w:shd w:fill="F2F2F2" w:val="clear"/>
            <w:tcMar>
              <w:top w:type="dxa" w:w="80"/>
              <w:left w:type="dxa" w:w="100"/>
              <w:bottom w:type="dxa" w:w="80"/>
              <w:right w:type="dxa" w:w="100"/>
            </w:tcMar>
            <w:vAlign w:val="center"/>
          </w:tcPr>
          <w:p>
            <w:pPr>
              <w:jc w:val="left"/>
            </w:pPr>
            <w:r>
              <w:rPr>
                <w:b w:val="false"/>
                <w:bCs w:val="false"/>
                <w:color w:val="000000"/>
              </w:rPr>
              <w:t xml:space="preserve">Comité de Arquitectura</w:t>
            </w:r>
          </w:p>
        </w:tc>
      </w:tr>
      <w:tr>
        <w:tc>
          <w:tcPr>
            <w:tcW w:type="dxa" w:w="1800"/>
            <w:shd w:fill="FFFFFF" w:val="clear"/>
            <w:tcMar>
              <w:top w:type="dxa" w:w="80"/>
              <w:left w:type="dxa" w:w="100"/>
              <w:bottom w:type="dxa" w:w="80"/>
              <w:right w:type="dxa" w:w="100"/>
            </w:tcMar>
            <w:vAlign w:val="center"/>
          </w:tcPr>
          <w:p>
            <w:pPr>
              <w:jc w:val="left"/>
            </w:pPr>
            <w:r>
              <w:rPr>
                <w:b w:val="false"/>
                <w:bCs w:val="false"/>
                <w:color w:val="000000"/>
              </w:rPr>
              <w:t xml:space="preserve">5. Incorporación</w:t>
            </w:r>
          </w:p>
        </w:tc>
        <w:tc>
          <w:tcPr>
            <w:tcW w:type="dxa" w:w="4700"/>
            <w:shd w:fill="FFFFFF" w:val="clear"/>
            <w:tcMar>
              <w:top w:type="dxa" w:w="80"/>
              <w:left w:type="dxa" w:w="100"/>
              <w:bottom w:type="dxa" w:w="80"/>
              <w:right w:type="dxa" w:w="100"/>
            </w:tcMar>
            <w:vAlign w:val="center"/>
          </w:tcPr>
          <w:p>
            <w:pPr>
              <w:jc w:val="left"/>
            </w:pPr>
            <w:r>
              <w:rPr>
                <w:b w:val="false"/>
                <w:bCs w:val="false"/>
                <w:color w:val="000000"/>
              </w:rPr>
              <w:t xml:space="preserve">Publicación en el ecosistema tecnológico objetivo (capítulo 4) y actualización de la matriz de obsolescencia.</w:t>
            </w:r>
          </w:p>
        </w:tc>
        <w:tc>
          <w:tcPr>
            <w:tcW w:type="dxa" w:w="2850"/>
            <w:shd w:fill="FFFFFF" w:val="clear"/>
            <w:tcMar>
              <w:top w:type="dxa" w:w="80"/>
              <w:left w:type="dxa" w:w="100"/>
              <w:bottom w:type="dxa" w:w="80"/>
              <w:right w:type="dxa" w:w="100"/>
            </w:tcMar>
            <w:vAlign w:val="center"/>
          </w:tcPr>
          <w:p>
            <w:pPr>
              <w:jc w:val="left"/>
            </w:pPr>
            <w:r>
              <w:rPr>
                <w:b w:val="false"/>
                <w:bCs w:val="false"/>
                <w:color w:val="000000"/>
              </w:rPr>
              <w:t xml:space="preserve">Oficina de Arquitectura Empresarial</w:t>
            </w:r>
          </w:p>
        </w:tc>
      </w:tr>
    </w:tbl>
    <w:p>
      <w:pPr>
        <w:pStyle w:val="Heading1"/>
        <w:pageBreakBefore/>
        <w:spacing w:after="240" w:before="480"/>
      </w:pPr>
      <w:r>
        <w:rPr>
          <w:b/>
          <w:bCs/>
        </w:rPr>
        <w:t xml:space="preserve">8. Anexos</w:t>
      </w:r>
    </w:p>
    <w:p>
      <w:pPr>
        <w:pStyle w:val="Heading2"/>
        <w:spacing w:after="180" w:before="360"/>
      </w:pPr>
      <w:r>
        <w:rPr>
          <w:b/>
          <w:bCs/>
        </w:rPr>
        <w:t xml:space="preserve">8.1. Diagramas de Arquitectura C4 (Contexto, Contenedores, Componentes)</w:t>
      </w:r>
    </w:p>
    <w:p>
      <w:pPr>
        <w:spacing w:after="200" w:line="276"/>
      </w:pPr>
      <w:r>
        <w:t xml:space="preserve">Los siguientes diagramas ilustran la arquitectura target utilizando el modelo C4, en sus tres primeros niveles de detalle: Contexto del sistema, Contenedores y Componentes de un microservicio representativo.</w:t>
      </w:r>
    </w:p>
    <w:p>
      <w:pPr>
        <w:spacing w:after="100" w:before="200"/>
      </w:pPr>
      <w:r>
        <w:rPr>
          <w:b/>
          <w:bCs/>
        </w:rPr>
        <w:t xml:space="preserve">Nivel 1 — Diagrama de Contexto</w:t>
      </w:r>
    </w:p>
    <w:p>
      <w:pPr>
        <w:spacing w:after="200" w:line="276"/>
      </w:pPr>
      <w:r>
        <w:t xml:space="preserve">Representa el sistema como una caja negra y sus interacciones con usuarios y sistemas externos.</w:t>
      </w:r>
    </w:p>
    <w:p>
      <w:pPr>
        <w:spacing w:after="120" w:before="200"/>
        <w:jc w:val="center"/>
      </w:pPr>
      <w:r>
        <w:drawing>
          <wp:inline distT="0" distB="0" distL="0" distR="0">
            <wp:extent cx="409575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114550"/>
                    </a:xfrm>
                    <a:prstGeom prst="rect">
                      <a:avLst/>
                    </a:prstGeom>
                  </pic:spPr>
                </pic:pic>
              </a:graphicData>
            </a:graphic>
          </wp:inline>
        </w:drawing>
      </w:r>
    </w:p>
    <w:p>
      <w:pPr>
        <w:spacing w:after="300"/>
        <w:jc w:val="center"/>
      </w:pPr>
      <w:r>
        <w:rPr>
          <w:i/>
          <w:iCs/>
          <w:color w:val="595959"/>
          <w:sz w:val="18"/>
          <w:szCs w:val="18"/>
        </w:rPr>
        <w:t xml:space="preserve">Figura 1. Diagrama de Contexto (C4 Nivel 1)</w:t>
      </w:r>
    </w:p>
    <w:p>
      <w:pPr>
        <w:pageBreakBefore/>
        <w:spacing w:after="100" w:before="200"/>
      </w:pPr>
      <w:r>
        <w:rPr>
          <w:b/>
          <w:bCs/>
        </w:rPr>
        <w:t xml:space="preserve">Nivel 2 — Diagrama de Contenedores</w:t>
      </w:r>
    </w:p>
    <w:p>
      <w:pPr>
        <w:spacing w:after="200" w:line="276"/>
      </w:pPr>
      <w:r>
        <w:t xml:space="preserve">Descompone el sistema en sus principales bloques desplegables: aplicaciones, servicios y almacenes de datos.</w:t>
      </w:r>
    </w:p>
    <w:p>
      <w:pPr>
        <w:spacing w:after="120" w:before="200"/>
        <w:jc w:val="center"/>
      </w:pPr>
      <w:r>
        <w:drawing>
          <wp:inline distT="0" distB="0" distL="0" distR="0">
            <wp:extent cx="3619500" cy="470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4705350"/>
                    </a:xfrm>
                    <a:prstGeom prst="rect">
                      <a:avLst/>
                    </a:prstGeom>
                  </pic:spPr>
                </pic:pic>
              </a:graphicData>
            </a:graphic>
          </wp:inline>
        </w:drawing>
      </w:r>
    </w:p>
    <w:p>
      <w:pPr>
        <w:spacing w:after="300"/>
        <w:jc w:val="center"/>
      </w:pPr>
      <w:r>
        <w:rPr>
          <w:i/>
          <w:iCs/>
          <w:color w:val="595959"/>
          <w:sz w:val="18"/>
          <w:szCs w:val="18"/>
        </w:rPr>
        <w:t xml:space="preserve">Figura 2. Diagrama de Contenedores (C4 Nivel 2)</w:t>
      </w:r>
    </w:p>
    <w:p>
      <w:pPr>
        <w:spacing w:after="100" w:before="200"/>
      </w:pPr>
      <w:r>
        <w:rPr>
          <w:b/>
          <w:bCs/>
        </w:rPr>
        <w:t xml:space="preserve">Nivel 3 — Diagrama de Componentes</w:t>
      </w:r>
    </w:p>
    <w:p>
      <w:pPr>
        <w:spacing w:after="200" w:line="276"/>
      </w:pPr>
      <w:r>
        <w:t xml:space="preserve">Detalla la estructura interna del Microservicio de Negocio A como ejemplo representativo de la organización interna esperada de cualquier microservicio del ecosistema.</w:t>
      </w:r>
    </w:p>
    <w:p>
      <w:pPr>
        <w:spacing w:after="120" w:before="200"/>
        <w:jc w:val="center"/>
      </w:pPr>
      <w:r>
        <w:drawing>
          <wp:inline distT="0" distB="0" distL="0" distR="0">
            <wp:extent cx="4000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695700"/>
                    </a:xfrm>
                    <a:prstGeom prst="rect">
                      <a:avLst/>
                    </a:prstGeom>
                  </pic:spPr>
                </pic:pic>
              </a:graphicData>
            </a:graphic>
          </wp:inline>
        </w:drawing>
      </w:r>
    </w:p>
    <w:p>
      <w:pPr>
        <w:spacing w:after="300"/>
        <w:jc w:val="center"/>
      </w:pPr>
      <w:r>
        <w:rPr>
          <w:i/>
          <w:iCs/>
          <w:color w:val="595959"/>
          <w:sz w:val="18"/>
          <w:szCs w:val="18"/>
        </w:rPr>
        <w:t xml:space="preserve">Figura 3. Diagrama de Componentes (C4 Nivel 3) — Microservicio de Negocio A</w:t>
      </w:r>
    </w:p>
    <w:p>
      <w:pPr>
        <w:pBdr>
          <w:top w:val="single" w:color="BFBFBF" w:sz="4"/>
        </w:pBdr>
        <w:spacing w:before="400"/>
      </w:pPr>
    </w:p>
    <w:p>
      <w:pPr>
        <w:spacing w:before="200"/>
      </w:pPr>
      <w:r>
        <w:rPr>
          <w:i/>
          <w:iCs/>
          <w:color w:val="808080"/>
          <w:sz w:val="18"/>
          <w:szCs w:val="18"/>
        </w:rPr>
        <w:t xml:space="preserve">Fin del documento ARC-001 — Arquitectura Empresarial Target</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r>
    <w:r>
      <w:rPr>
        <w:color w:val="808080"/>
        <w:sz w:val="16"/>
        <w:szCs w:val="16"/>
      </w:rPr>
      <w:fldChar w:fldCharType="begin"/>
      <w:instrText xml:space="preserve">PAGE</w:instrText>
      <w:fldChar w:fldCharType="separate"/>
      <w:fldChar w:fldCharType="end"/>
    </w:r>
    <w:r>
      <w:rPr>
        <w:color w:val="808080"/>
        <w:sz w:val="16"/>
        <w:szCs w:val="16"/>
      </w:rPr>
      <w:t xml:space="preserve"> de </w:t>
    </w:r>
    <w:r>
      <w:rPr>
        <w:color w:val="808080"/>
        <w:sz w:val="16"/>
        <w:szCs w:val="16"/>
      </w:rPr>
      <w:fldChar w:fldCharType="begin"/>
      <w:instrText xml:space="preserve">NUMPAGES</w:instrText>
      <w:fldChar w:fldCharType="separate"/>
      <w:fldChar w:fldCharType="end"/>
    </w:r>
    <w:r>
      <w:rPr>
        <w:color w:val="808080"/>
        <w:sz w:val="16"/>
        <w:szCs w:val="16"/>
      </w:rPr>
      <w:t xml:space="preserve">  |  Uso Interno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color w:val="808080"/>
        <w:sz w:val="16"/>
        <w:szCs w:val="16"/>
      </w:rPr>
      <w:t xml:space="preserve">ARC-001 · Arquitectura Empresarial Target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050c268e56c951ccba68b725d82e30ac1b8677b.png"/><Relationship Id="rId10" Type="http://schemas.openxmlformats.org/officeDocument/2006/relationships/image" Target="media/094d38144793be73794c4e60c2d73ac3b8cd075c.png"/><Relationship Id="rId11" Type="http://schemas.openxmlformats.org/officeDocument/2006/relationships/image" Target="media/0882f0455ff79fa827d937d234b14b30f3d5a6e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2026-08-03T04:51:44.154Z</dcterms:created>
  <dcterms:modified xsi:type="dcterms:W3CDTF">2026-08-03T04:51:44.179Z</dcterms:modified>
</cp:coreProperties>
</file>

<file path=docProps/custom.xml><?xml version="1.0" encoding="utf-8"?>
<Properties xmlns="http://schemas.openxmlformats.org/officeDocument/2006/custom-properties" xmlns:vt="http://schemas.openxmlformats.org/officeDocument/2006/docPropsVTypes"/>
</file>