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2E5395"/>
          <w:sz w:val="32"/>
          <w:szCs w:val="32"/>
        </w:rPr>
        <w:t xml:space="preserve">ENG-001</w:t>
      </w:r>
    </w:p>
    <w:p>
      <w:pPr>
        <w:spacing w:after="120" w:before="240"/>
        <w:jc w:val="center"/>
      </w:pPr>
      <w:r>
        <w:rPr>
          <w:b/>
          <w:bCs/>
          <w:color w:val="1F3864"/>
          <w:sz w:val="56"/>
          <w:szCs w:val="56"/>
        </w:rPr>
        <w:t xml:space="preserve">Estándares de Ingeniería de Software</w:t>
      </w:r>
    </w:p>
    <w:p>
      <w:pPr>
        <w:spacing w:after="600"/>
        <w:jc w:val="center"/>
      </w:pPr>
      <w:r>
        <w:rPr>
          <w:i/>
          <w:iCs/>
          <w:color w:val="595959"/>
          <w:sz w:val="24"/>
          <w:szCs w:val="24"/>
        </w:rPr>
        <w:t xml:space="preserve">Convenciones de código, control de versiones y prácticas de ingeniería de aplicación obligatoria</w:t>
      </w:r>
    </w:p>
    <w:p>
      <w:pPr>
        <w:spacing w:before="1600"/>
        <w:jc w:val="center"/>
      </w:pPr>
      <w:r>
        <w:rPr>
          <w:color w:val="595959"/>
          <w:sz w:val="22"/>
          <w:szCs w:val="22"/>
        </w:rPr>
        <w:t xml:space="preserve">Versión 1.0  ·  Julio 2026</w:t>
      </w:r>
    </w:p>
    <w:p>
      <w:pPr>
        <w:jc w:val="center"/>
      </w:pPr>
      <w:r>
        <w:rPr>
          <w:b/>
          <w:bCs/>
          <w:color w:val="C00000"/>
          <w:sz w:val="22"/>
          <w:szCs w:val="22"/>
        </w:rPr>
        <w:t xml:space="preserve">Clasificación: Uso Interno</w:t>
      </w:r>
    </w:p>
    <w:p>
      <w:pPr>
        <w:pStyle w:val="Heading1"/>
        <w:pageBreakBefore/>
        <w:spacing w:after="240"/>
      </w:pPr>
      <w:r>
        <w:rPr>
          <w:b/>
          <w:bCs/>
        </w:rPr>
        <w:t xml:space="preserve">1. Control del Documento y Control de Cambios</w:t>
      </w:r>
    </w:p>
    <w:p>
      <w:pPr>
        <w:spacing w:after="200" w:line="276"/>
      </w:pPr>
      <w:r>
        <w:t xml:space="preserve">Este documento establece los estándares de ingeniería de software de cumplimiento obligatorio para todo el código propio de la organización. Su vigencia, distribución y modificaciones están sujetas al proceso de gestión documental descrito a continuación.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7000"/>
      </w:tblGrid>
      <w:tr>
        <w:trPr>
          <w:tblHeader/>
        </w:trPr>
        <w:tc>
          <w:tcPr>
            <w:tcW w:type="dxa" w:w="2350"/>
            <w:shd w:fill="1F3864" w:val="clear"/>
            <w:tcMar>
              <w:top w:type="dxa" w:w="80"/>
              <w:left w:type="dxa" w:w="100"/>
              <w:bottom w:type="dxa" w:w="80"/>
              <w:right w:type="dxa" w:w="100"/>
            </w:tcMar>
            <w:vAlign w:val="center"/>
          </w:tcPr>
          <w:p>
            <w:pPr>
              <w:jc w:val="left"/>
            </w:pPr>
            <w:r>
              <w:rPr>
                <w:b/>
                <w:bCs/>
                <w:color w:val="FFFFFF"/>
              </w:rPr>
              <w:t xml:space="preserve">Campo</w:t>
            </w:r>
          </w:p>
        </w:tc>
        <w:tc>
          <w:tcPr>
            <w:tcW w:type="dxa" w:w="7000"/>
            <w:shd w:fill="1F3864" w:val="clear"/>
            <w:tcMar>
              <w:top w:type="dxa" w:w="80"/>
              <w:left w:type="dxa" w:w="100"/>
              <w:bottom w:type="dxa" w:w="80"/>
              <w:right w:type="dxa" w:w="100"/>
            </w:tcMar>
            <w:vAlign w:val="center"/>
          </w:tcPr>
          <w:p>
            <w:pPr>
              <w:jc w:val="left"/>
            </w:pPr>
            <w:r>
              <w:rPr>
                <w:b/>
                <w:bCs/>
                <w:color w:val="FFFFFF"/>
              </w:rPr>
              <w:t xml:space="preserve">Detalle</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Código del Documento</w:t>
            </w:r>
          </w:p>
        </w:tc>
        <w:tc>
          <w:tcPr>
            <w:tcW w:type="dxa" w:w="7000"/>
            <w:tcMar>
              <w:top w:type="dxa" w:w="80"/>
              <w:left w:type="dxa" w:w="100"/>
              <w:bottom w:type="dxa" w:w="80"/>
              <w:right w:type="dxa" w:w="100"/>
            </w:tcMar>
            <w:vAlign w:val="center"/>
          </w:tcPr>
          <w:p>
            <w:pPr>
              <w:jc w:val="left"/>
            </w:pPr>
            <w:r>
              <w:rPr>
                <w:b w:val="false"/>
                <w:bCs w:val="false"/>
                <w:color w:val="000000"/>
              </w:rPr>
              <w:t xml:space="preserve">ENG-001</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Clasificación</w:t>
            </w:r>
          </w:p>
        </w:tc>
        <w:tc>
          <w:tcPr>
            <w:tcW w:type="dxa" w:w="7000"/>
            <w:tcMar>
              <w:top w:type="dxa" w:w="80"/>
              <w:left w:type="dxa" w:w="100"/>
              <w:bottom w:type="dxa" w:w="80"/>
              <w:right w:type="dxa" w:w="100"/>
            </w:tcMar>
            <w:vAlign w:val="center"/>
          </w:tcPr>
          <w:p>
            <w:pPr>
              <w:jc w:val="left"/>
            </w:pPr>
            <w:r>
              <w:rPr>
                <w:b w:val="false"/>
                <w:bCs w:val="false"/>
                <w:color w:val="000000"/>
              </w:rPr>
              <w:t xml:space="preserve">Uso Interno — Distribución obligatoria para todo el personal de Ingeniería y proveedores de desarrollo.</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Propietario del Documento</w:t>
            </w:r>
          </w:p>
        </w:tc>
        <w:tc>
          <w:tcPr>
            <w:tcW w:type="dxa" w:w="7000"/>
            <w:tcMar>
              <w:top w:type="dxa" w:w="80"/>
              <w:left w:type="dxa" w:w="100"/>
              <w:bottom w:type="dxa" w:w="80"/>
              <w:right w:type="dxa" w:w="100"/>
            </w:tcMar>
            <w:vAlign w:val="center"/>
          </w:tcPr>
          <w:p>
            <w:pPr>
              <w:jc w:val="left"/>
            </w:pPr>
            <w:r>
              <w:rPr>
                <w:b w:val="false"/>
                <w:bCs w:val="false"/>
                <w:color w:val="000000"/>
              </w:rPr>
              <w:t xml:space="preserve">Head of Engineering / Guild de Ingeniería</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Frecuencia de Revisión</w:t>
            </w:r>
          </w:p>
        </w:tc>
        <w:tc>
          <w:tcPr>
            <w:tcW w:type="dxa" w:w="7000"/>
            <w:tcMar>
              <w:top w:type="dxa" w:w="80"/>
              <w:left w:type="dxa" w:w="100"/>
              <w:bottom w:type="dxa" w:w="80"/>
              <w:right w:type="dxa" w:w="100"/>
            </w:tcMar>
            <w:vAlign w:val="center"/>
          </w:tcPr>
          <w:p>
            <w:pPr>
              <w:jc w:val="left"/>
            </w:pPr>
            <w:r>
              <w:rPr>
                <w:b w:val="false"/>
                <w:bCs w:val="false"/>
                <w:color w:val="000000"/>
              </w:rPr>
              <w:t xml:space="preserve">Semestral, o ante la adopción de un nuevo lenguaje, framework o stack tecnológico.</w:t>
            </w:r>
          </w:p>
        </w:tc>
      </w:tr>
      <w:tr>
        <w:tc>
          <w:tcPr>
            <w:tcW w:type="dxa" w:w="2350"/>
            <w:shd w:fill="F2F2F2" w:val="clear"/>
            <w:tcMar>
              <w:top w:type="dxa" w:w="80"/>
              <w:left w:type="dxa" w:w="100"/>
              <w:bottom w:type="dxa" w:w="80"/>
              <w:right w:type="dxa" w:w="100"/>
            </w:tcMar>
            <w:vAlign w:val="center"/>
          </w:tcPr>
          <w:p>
            <w:pPr>
              <w:jc w:val="left"/>
            </w:pPr>
            <w:r>
              <w:rPr>
                <w:b/>
                <w:bCs/>
                <w:color w:val="000000"/>
              </w:rPr>
              <w:t xml:space="preserve">Próxima Revisión Programada</w:t>
            </w:r>
          </w:p>
        </w:tc>
        <w:tc>
          <w:tcPr>
            <w:tcW w:type="dxa" w:w="7000"/>
            <w:tcMar>
              <w:top w:type="dxa" w:w="80"/>
              <w:left w:type="dxa" w:w="100"/>
              <w:bottom w:type="dxa" w:w="80"/>
              <w:right w:type="dxa" w:w="100"/>
            </w:tcMar>
            <w:vAlign w:val="center"/>
          </w:tcPr>
          <w:p>
            <w:pPr>
              <w:jc w:val="left"/>
            </w:pPr>
            <w:r>
              <w:rPr>
                <w:b w:val="false"/>
                <w:bCs w:val="false"/>
                <w:color w:val="000000"/>
              </w:rPr>
              <w:t xml:space="preserve">2027-01-30</w:t>
            </w:r>
          </w:p>
        </w:tc>
      </w:tr>
    </w:tbl>
    <w:p>
      <w:pPr>
        <w:spacing w:after="150" w:before="300"/>
      </w:pPr>
      <w:r>
        <w:rPr>
          <w:b/>
          <w:bCs/>
        </w:rPr>
        <w:t xml:space="preserve">Historial de Versiones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550"/>
        <w:gridCol w:w="4000"/>
      </w:tblGrid>
      <w:tr>
        <w:trPr>
          <w:tblHeader/>
        </w:trPr>
        <w:tc>
          <w:tcPr>
            <w:tcW w:type="dxa" w:w="1400"/>
            <w:shd w:fill="1F3864" w:val="clear"/>
            <w:tcMar>
              <w:top w:type="dxa" w:w="80"/>
              <w:left w:type="dxa" w:w="100"/>
              <w:bottom w:type="dxa" w:w="80"/>
              <w:right w:type="dxa" w:w="100"/>
            </w:tcMar>
            <w:vAlign w:val="center"/>
          </w:tcPr>
          <w:p>
            <w:pPr>
              <w:jc w:val="left"/>
            </w:pPr>
            <w:r>
              <w:rPr>
                <w:b/>
                <w:bCs/>
                <w:color w:val="FFFFFF"/>
              </w:rPr>
              <w:t xml:space="preserve">Versión</w:t>
            </w:r>
          </w:p>
        </w:tc>
        <w:tc>
          <w:tcPr>
            <w:tcW w:type="dxa" w:w="1400"/>
            <w:shd w:fill="1F3864" w:val="clear"/>
            <w:tcMar>
              <w:top w:type="dxa" w:w="80"/>
              <w:left w:type="dxa" w:w="100"/>
              <w:bottom w:type="dxa" w:w="80"/>
              <w:right w:type="dxa" w:w="100"/>
            </w:tcMar>
            <w:vAlign w:val="center"/>
          </w:tcPr>
          <w:p>
            <w:pPr>
              <w:jc w:val="left"/>
            </w:pPr>
            <w:r>
              <w:rPr>
                <w:b/>
                <w:bCs/>
                <w:color w:val="FFFFFF"/>
              </w:rPr>
              <w:t xml:space="preserve">Fecha</w:t>
            </w:r>
          </w:p>
        </w:tc>
        <w:tc>
          <w:tcPr>
            <w:tcW w:type="dxa" w:w="2550"/>
            <w:shd w:fill="1F3864" w:val="clear"/>
            <w:tcMar>
              <w:top w:type="dxa" w:w="80"/>
              <w:left w:type="dxa" w:w="100"/>
              <w:bottom w:type="dxa" w:w="80"/>
              <w:right w:type="dxa" w:w="100"/>
            </w:tcMar>
            <w:vAlign w:val="center"/>
          </w:tcPr>
          <w:p>
            <w:pPr>
              <w:jc w:val="left"/>
            </w:pPr>
            <w:r>
              <w:rPr>
                <w:b/>
                <w:bCs/>
                <w:color w:val="FFFFFF"/>
              </w:rPr>
              <w:t xml:space="preserve">Autor / Responsable</w:t>
            </w:r>
          </w:p>
        </w:tc>
        <w:tc>
          <w:tcPr>
            <w:tcW w:type="dxa" w:w="4000"/>
            <w:shd w:fill="1F3864" w:val="clear"/>
            <w:tcMar>
              <w:top w:type="dxa" w:w="80"/>
              <w:left w:type="dxa" w:w="100"/>
              <w:bottom w:type="dxa" w:w="80"/>
              <w:right w:type="dxa" w:w="100"/>
            </w:tcMar>
            <w:vAlign w:val="center"/>
          </w:tcPr>
          <w:p>
            <w:pPr>
              <w:jc w:val="left"/>
            </w:pPr>
            <w:r>
              <w:rPr>
                <w:b/>
                <w:bCs/>
                <w:color w:val="FFFFFF"/>
              </w:rPr>
              <w:t xml:space="preserve">Descripción del Cambio</w:t>
            </w:r>
          </w:p>
        </w:tc>
      </w:tr>
      <w:tr>
        <w:tc>
          <w:tcPr>
            <w:tcW w:type="dxa" w:w="1400"/>
            <w:tcMar>
              <w:top w:type="dxa" w:w="80"/>
              <w:left w:type="dxa" w:w="100"/>
              <w:bottom w:type="dxa" w:w="80"/>
              <w:right w:type="dxa" w:w="100"/>
            </w:tcMar>
            <w:vAlign w:val="center"/>
          </w:tcPr>
          <w:p>
            <w:pPr>
              <w:jc w:val="left"/>
            </w:pPr>
            <w:r>
              <w:rPr>
                <w:b w:val="false"/>
                <w:bCs w:val="false"/>
                <w:color w:val="000000"/>
              </w:rPr>
              <w:t xml:space="preserve">0.1</w:t>
            </w:r>
          </w:p>
        </w:tc>
        <w:tc>
          <w:tcPr>
            <w:tcW w:type="dxa" w:w="1400"/>
            <w:tcMar>
              <w:top w:type="dxa" w:w="80"/>
              <w:left w:type="dxa" w:w="100"/>
              <w:bottom w:type="dxa" w:w="80"/>
              <w:right w:type="dxa" w:w="100"/>
            </w:tcMar>
            <w:vAlign w:val="center"/>
          </w:tcPr>
          <w:p>
            <w:pPr>
              <w:jc w:val="left"/>
            </w:pPr>
            <w:r>
              <w:rPr>
                <w:b w:val="false"/>
                <w:bCs w:val="false"/>
                <w:color w:val="000000"/>
              </w:rPr>
              <w:t xml:space="preserve">2026-03-09</w:t>
            </w:r>
          </w:p>
        </w:tc>
        <w:tc>
          <w:tcPr>
            <w:tcW w:type="dxa" w:w="2550"/>
            <w:tcMar>
              <w:top w:type="dxa" w:w="80"/>
              <w:left w:type="dxa" w:w="100"/>
              <w:bottom w:type="dxa" w:w="80"/>
              <w:right w:type="dxa" w:w="100"/>
            </w:tcMar>
            <w:vAlign w:val="center"/>
          </w:tcPr>
          <w:p>
            <w:pPr>
              <w:jc w:val="left"/>
            </w:pPr>
            <w:r>
              <w:rPr>
                <w:b w:val="false"/>
                <w:bCs w:val="false"/>
                <w:color w:val="000000"/>
              </w:rPr>
              <w:t xml:space="preserve">Oficina de Arquitectura y Estándares</w:t>
            </w:r>
          </w:p>
        </w:tc>
        <w:tc>
          <w:tcPr>
            <w:tcW w:type="dxa" w:w="4000"/>
            <w:tcMar>
              <w:top w:type="dxa" w:w="80"/>
              <w:left w:type="dxa" w:w="100"/>
              <w:bottom w:type="dxa" w:w="80"/>
              <w:right w:type="dxa" w:w="100"/>
            </w:tcMar>
            <w:vAlign w:val="center"/>
          </w:tcPr>
          <w:p>
            <w:pPr>
              <w:jc w:val="left"/>
            </w:pPr>
            <w:r>
              <w:rPr>
                <w:b w:val="false"/>
                <w:bCs w:val="false"/>
                <w:color w:val="000000"/>
              </w:rPr>
              <w:t xml:space="preserve">Borrador inicial de estándares de codificación, versionado y prácticas de ingeniería.</w:t>
            </w:r>
          </w:p>
        </w:tc>
      </w:tr>
      <w:tr>
        <w:tc>
          <w:tcPr>
            <w:tcW w:type="dxa" w:w="1400"/>
            <w:tcMar>
              <w:top w:type="dxa" w:w="80"/>
              <w:left w:type="dxa" w:w="100"/>
              <w:bottom w:type="dxa" w:w="80"/>
              <w:right w:type="dxa" w:w="100"/>
            </w:tcMar>
            <w:vAlign w:val="center"/>
          </w:tcPr>
          <w:p>
            <w:pPr>
              <w:jc w:val="left"/>
            </w:pPr>
            <w:r>
              <w:rPr>
                <w:b w:val="false"/>
                <w:bCs w:val="false"/>
                <w:color w:val="000000"/>
              </w:rPr>
              <w:t xml:space="preserve">0.6</w:t>
            </w:r>
          </w:p>
        </w:tc>
        <w:tc>
          <w:tcPr>
            <w:tcW w:type="dxa" w:w="1400"/>
            <w:tcMar>
              <w:top w:type="dxa" w:w="80"/>
              <w:left w:type="dxa" w:w="100"/>
              <w:bottom w:type="dxa" w:w="80"/>
              <w:right w:type="dxa" w:w="100"/>
            </w:tcMar>
            <w:vAlign w:val="center"/>
          </w:tcPr>
          <w:p>
            <w:pPr>
              <w:jc w:val="left"/>
            </w:pPr>
            <w:r>
              <w:rPr>
                <w:b w:val="false"/>
                <w:bCs w:val="false"/>
                <w:color w:val="000000"/>
              </w:rPr>
              <w:t xml:space="preserve">2026-04-27</w:t>
            </w:r>
          </w:p>
        </w:tc>
        <w:tc>
          <w:tcPr>
            <w:tcW w:type="dxa" w:w="2550"/>
            <w:tcMar>
              <w:top w:type="dxa" w:w="80"/>
              <w:left w:type="dxa" w:w="100"/>
              <w:bottom w:type="dxa" w:w="80"/>
              <w:right w:type="dxa" w:w="100"/>
            </w:tcMar>
            <w:vAlign w:val="center"/>
          </w:tcPr>
          <w:p>
            <w:pPr>
              <w:jc w:val="left"/>
            </w:pPr>
            <w:r>
              <w:rPr>
                <w:b w:val="false"/>
                <w:bCs w:val="false"/>
                <w:color w:val="000000"/>
              </w:rPr>
              <w:t xml:space="preserve">Guild de Ingeniería (representantes por stack)</w:t>
            </w:r>
          </w:p>
        </w:tc>
        <w:tc>
          <w:tcPr>
            <w:tcW w:type="dxa" w:w="4000"/>
            <w:tcMar>
              <w:top w:type="dxa" w:w="80"/>
              <w:left w:type="dxa" w:w="100"/>
              <w:bottom w:type="dxa" w:w="80"/>
              <w:right w:type="dxa" w:w="100"/>
            </w:tcMar>
            <w:vAlign w:val="center"/>
          </w:tcPr>
          <w:p>
            <w:pPr>
              <w:jc w:val="left"/>
            </w:pPr>
            <w:r>
              <w:rPr>
                <w:b w:val="false"/>
                <w:bCs w:val="false"/>
                <w:color w:val="000000"/>
              </w:rPr>
              <w:t xml:space="preserve">Incorporación de convenciones por lenguaje, logging estructurado y gestión de dependencias.</w:t>
            </w:r>
          </w:p>
        </w:tc>
      </w:tr>
      <w:tr>
        <w:tc>
          <w:tcPr>
            <w:tcW w:type="dxa" w:w="1400"/>
            <w:tcMar>
              <w:top w:type="dxa" w:w="80"/>
              <w:left w:type="dxa" w:w="100"/>
              <w:bottom w:type="dxa" w:w="80"/>
              <w:right w:type="dxa" w:w="100"/>
            </w:tcMar>
            <w:vAlign w:val="center"/>
          </w:tcPr>
          <w:p>
            <w:pPr>
              <w:jc w:val="left"/>
            </w:pPr>
            <w:r>
              <w:rPr>
                <w:b w:val="false"/>
                <w:bCs w:val="false"/>
                <w:color w:val="000000"/>
              </w:rPr>
              <w:t xml:space="preserve">1.0</w:t>
            </w:r>
          </w:p>
        </w:tc>
        <w:tc>
          <w:tcPr>
            <w:tcW w:type="dxa" w:w="1400"/>
            <w:tcMar>
              <w:top w:type="dxa" w:w="80"/>
              <w:left w:type="dxa" w:w="100"/>
              <w:bottom w:type="dxa" w:w="80"/>
              <w:right w:type="dxa" w:w="100"/>
            </w:tcMar>
            <w:vAlign w:val="center"/>
          </w:tcPr>
          <w:p>
            <w:pPr>
              <w:jc w:val="left"/>
            </w:pPr>
            <w:r>
              <w:rPr>
                <w:b w:val="false"/>
                <w:bCs w:val="false"/>
                <w:color w:val="000000"/>
              </w:rPr>
              <w:t xml:space="preserve">2026-07-30</w:t>
            </w:r>
          </w:p>
        </w:tc>
        <w:tc>
          <w:tcPr>
            <w:tcW w:type="dxa" w:w="2550"/>
            <w:tcMar>
              <w:top w:type="dxa" w:w="80"/>
              <w:left w:type="dxa" w:w="100"/>
              <w:bottom w:type="dxa" w:w="80"/>
              <w:right w:type="dxa" w:w="100"/>
            </w:tcMar>
            <w:vAlign w:val="center"/>
          </w:tcPr>
          <w:p>
            <w:pPr>
              <w:jc w:val="left"/>
            </w:pPr>
            <w:r>
              <w:rPr>
                <w:b w:val="false"/>
                <w:bCs w:val="false"/>
                <w:color w:val="000000"/>
              </w:rPr>
              <w:t xml:space="preserve">Head of Engineering</w:t>
            </w:r>
          </w:p>
        </w:tc>
        <w:tc>
          <w:tcPr>
            <w:tcW w:type="dxa" w:w="4000"/>
            <w:tcMar>
              <w:top w:type="dxa" w:w="80"/>
              <w:left w:type="dxa" w:w="100"/>
              <w:bottom w:type="dxa" w:w="80"/>
              <w:right w:type="dxa" w:w="100"/>
            </w:tcMar>
            <w:vAlign w:val="center"/>
          </w:tcPr>
          <w:p>
            <w:pPr>
              <w:jc w:val="left"/>
            </w:pPr>
            <w:r>
              <w:rPr>
                <w:b w:val="false"/>
                <w:bCs w:val="false"/>
                <w:color w:val="000000"/>
              </w:rPr>
              <w:t xml:space="preserve">Aprobación formal. Versión vigente publicada en el repositorio corporativo de estándares.</w:t>
            </w:r>
          </w:p>
        </w:tc>
      </w:tr>
    </w:tbl>
    <w:p>
      <w:pPr>
        <w:pStyle w:val="Heading1"/>
        <w:pageBreakBefore/>
        <w:spacing w:after="240" w:before="480"/>
      </w:pPr>
      <w:r>
        <w:rPr>
          <w:b/>
          <w:bCs/>
        </w:rPr>
        <w:t xml:space="preserve">2. Propósito y Estándares Soporte</w:t>
      </w:r>
    </w:p>
    <w:p>
      <w:pPr>
        <w:spacing w:after="200" w:line="276"/>
      </w:pPr>
      <w:r>
        <w:t xml:space="preserve">El propósito de este documento es garantizar que el código producido por cualquier equipo de la organización sea legible, mantenible, seguro y consistente, independientemente del lenguaje, stack o squad que lo desarrolle. Un estándar de ingeniería compartido reduce el costo cognitivo de moverse entre proyectos, acelera la incorporación de nuevos desarrolladores y facilita la automatización de controles de calidad.</w:t>
      </w:r>
    </w:p>
    <w:p>
      <w:pPr>
        <w:spacing w:after="200" w:line="276"/>
      </w:pPr>
      <w:r>
        <w:t xml:space="preserve">Este documento se apoya y complementa con los siguientes estándares internos y externos: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1F3864" w:val="clear"/>
            <w:tcMar>
              <w:top w:type="dxa" w:w="80"/>
              <w:left w:type="dxa" w:w="100"/>
              <w:bottom w:type="dxa" w:w="80"/>
              <w:right w:type="dxa" w:w="100"/>
            </w:tcMar>
            <w:vAlign w:val="center"/>
          </w:tcPr>
          <w:p>
            <w:pPr>
              <w:jc w:val="left"/>
            </w:pPr>
            <w:r>
              <w:rPr>
                <w:b/>
                <w:bCs/>
                <w:color w:val="FFFFFF"/>
              </w:rPr>
              <w:t xml:space="preserve">Documento</w:t>
            </w:r>
          </w:p>
        </w:tc>
        <w:tc>
          <w:tcPr>
            <w:tcW w:type="dxa" w:w="5150"/>
            <w:shd w:fill="1F3864" w:val="clear"/>
            <w:tcMar>
              <w:top w:type="dxa" w:w="80"/>
              <w:left w:type="dxa" w:w="100"/>
              <w:bottom w:type="dxa" w:w="80"/>
              <w:right w:type="dxa" w:w="100"/>
            </w:tcMar>
            <w:vAlign w:val="center"/>
          </w:tcPr>
          <w:p>
            <w:pPr>
              <w:jc w:val="left"/>
            </w:pPr>
            <w:r>
              <w:rPr>
                <w:b/>
                <w:bCs/>
                <w:color w:val="FFFFFF"/>
              </w:rPr>
              <w:t xml:space="preserve">Relación con ENG-001</w:t>
            </w:r>
          </w:p>
        </w:tc>
      </w:tr>
      <w:tr>
        <w:tc>
          <w:tcPr>
            <w:tcW w:type="dxa" w:w="4200"/>
            <w:shd w:fill="FFFFFF" w:val="clear"/>
            <w:tcMar>
              <w:top w:type="dxa" w:w="80"/>
              <w:left w:type="dxa" w:w="100"/>
              <w:bottom w:type="dxa" w:w="80"/>
              <w:right w:type="dxa" w:w="100"/>
            </w:tcMar>
            <w:vAlign w:val="center"/>
          </w:tcPr>
          <w:p>
            <w:pPr>
              <w:jc w:val="left"/>
            </w:pPr>
            <w:r>
              <w:rPr>
                <w:b w:val="false"/>
                <w:bCs w:val="false"/>
                <w:color w:val="000000"/>
              </w:rPr>
              <w:t xml:space="preserve">GOB-001 — Modelo de Gobierno DevSecOps</w:t>
            </w:r>
          </w:p>
        </w:tc>
        <w:tc>
          <w:tcPr>
            <w:tcW w:type="dxa" w:w="5150"/>
            <w:shd w:fill="FFFFFF" w:val="clear"/>
            <w:tcMar>
              <w:top w:type="dxa" w:w="80"/>
              <w:left w:type="dxa" w:w="100"/>
              <w:bottom w:type="dxa" w:w="80"/>
              <w:right w:type="dxa" w:w="100"/>
            </w:tcMar>
            <w:vAlign w:val="center"/>
          </w:tcPr>
          <w:p>
            <w:pPr>
              <w:jc w:val="left"/>
            </w:pPr>
            <w:r>
              <w:rPr>
                <w:b w:val="false"/>
                <w:bCs w:val="false"/>
                <w:color w:val="000000"/>
              </w:rPr>
              <w:t xml:space="preserve">Define los gates de calidad que verifican el cumplimiento de estos estándares antes de cada despliegue.</w:t>
            </w:r>
          </w:p>
        </w:tc>
      </w:tr>
      <w:tr>
        <w:tc>
          <w:tcPr>
            <w:tcW w:type="dxa" w:w="4200"/>
            <w:shd w:fill="F2F2F2" w:val="clear"/>
            <w:tcMar>
              <w:top w:type="dxa" w:w="80"/>
              <w:left w:type="dxa" w:w="100"/>
              <w:bottom w:type="dxa" w:w="80"/>
              <w:right w:type="dxa" w:w="100"/>
            </w:tcMar>
            <w:vAlign w:val="center"/>
          </w:tcPr>
          <w:p>
            <w:pPr>
              <w:jc w:val="left"/>
            </w:pPr>
            <w:r>
              <w:rPr>
                <w:b w:val="false"/>
                <w:bCs w:val="false"/>
                <w:color w:val="000000"/>
              </w:rPr>
              <w:t xml:space="preserve">ARC-001 — Arquitectura Empresarial Target</w:t>
            </w:r>
          </w:p>
        </w:tc>
        <w:tc>
          <w:tcPr>
            <w:tcW w:type="dxa" w:w="5150"/>
            <w:shd w:fill="F2F2F2" w:val="clear"/>
            <w:tcMar>
              <w:top w:type="dxa" w:w="80"/>
              <w:left w:type="dxa" w:w="100"/>
              <w:bottom w:type="dxa" w:w="80"/>
              <w:right w:type="dxa" w:w="100"/>
            </w:tcMar>
            <w:vAlign w:val="center"/>
          </w:tcPr>
          <w:p>
            <w:pPr>
              <w:jc w:val="left"/>
            </w:pPr>
            <w:r>
              <w:rPr>
                <w:b w:val="false"/>
                <w:bCs w:val="false"/>
                <w:color w:val="000000"/>
              </w:rPr>
              <w:t xml:space="preserve">Define las capas y el ecosistema tecnológico dentro del cual se aplican estas convenciones de código.</w:t>
            </w:r>
          </w:p>
        </w:tc>
      </w:tr>
      <w:tr>
        <w:tc>
          <w:tcPr>
            <w:tcW w:type="dxa" w:w="4200"/>
            <w:shd w:fill="FFFFFF" w:val="clear"/>
            <w:tcMar>
              <w:top w:type="dxa" w:w="80"/>
              <w:left w:type="dxa" w:w="100"/>
              <w:bottom w:type="dxa" w:w="80"/>
              <w:right w:type="dxa" w:w="100"/>
            </w:tcMar>
            <w:vAlign w:val="center"/>
          </w:tcPr>
          <w:p>
            <w:pPr>
              <w:jc w:val="left"/>
            </w:pPr>
            <w:r>
              <w:rPr>
                <w:b w:val="false"/>
                <w:bCs w:val="false"/>
                <w:color w:val="000000"/>
              </w:rPr>
              <w:t xml:space="preserve">SEC-001 — Política de Seguridad DevSecOps</w:t>
            </w:r>
          </w:p>
        </w:tc>
        <w:tc>
          <w:tcPr>
            <w:tcW w:type="dxa" w:w="5150"/>
            <w:shd w:fill="FFFFFF" w:val="clear"/>
            <w:tcMar>
              <w:top w:type="dxa" w:w="80"/>
              <w:left w:type="dxa" w:w="100"/>
              <w:bottom w:type="dxa" w:w="80"/>
              <w:right w:type="dxa" w:w="100"/>
            </w:tcMar>
            <w:vAlign w:val="center"/>
          </w:tcPr>
          <w:p>
            <w:pPr>
              <w:jc w:val="left"/>
            </w:pPr>
            <w:r>
              <w:rPr>
                <w:b w:val="false"/>
                <w:bCs w:val="false"/>
                <w:color w:val="000000"/>
              </w:rPr>
              <w:t xml:space="preserve">Define los controles de seguridad complementarios (SAST, SCA, secretos) que se ejecutan sobre el código que sigue estos estándares.</w:t>
            </w:r>
          </w:p>
        </w:tc>
      </w:tr>
      <w:tr>
        <w:tc>
          <w:tcPr>
            <w:tcW w:type="dxa" w:w="4200"/>
            <w:shd w:fill="F2F2F2" w:val="clear"/>
            <w:tcMar>
              <w:top w:type="dxa" w:w="80"/>
              <w:left w:type="dxa" w:w="100"/>
              <w:bottom w:type="dxa" w:w="80"/>
              <w:right w:type="dxa" w:w="100"/>
            </w:tcMar>
            <w:vAlign w:val="center"/>
          </w:tcPr>
          <w:p>
            <w:pPr>
              <w:jc w:val="left"/>
            </w:pPr>
            <w:r>
              <w:rPr>
                <w:b w:val="false"/>
                <w:bCs w:val="false"/>
                <w:color w:val="000000"/>
              </w:rPr>
              <w:t xml:space="preserve">OWASP ASVS / CWE Top 25</w:t>
            </w:r>
          </w:p>
        </w:tc>
        <w:tc>
          <w:tcPr>
            <w:tcW w:type="dxa" w:w="5150"/>
            <w:shd w:fill="F2F2F2" w:val="clear"/>
            <w:tcMar>
              <w:top w:type="dxa" w:w="80"/>
              <w:left w:type="dxa" w:w="100"/>
              <w:bottom w:type="dxa" w:w="80"/>
              <w:right w:type="dxa" w:w="100"/>
            </w:tcMar>
            <w:vAlign w:val="center"/>
          </w:tcPr>
          <w:p>
            <w:pPr>
              <w:jc w:val="left"/>
            </w:pPr>
            <w:r>
              <w:rPr>
                <w:b w:val="false"/>
                <w:bCs w:val="false"/>
                <w:color w:val="000000"/>
              </w:rPr>
              <w:t xml:space="preserve">Referencia externa para prácticas de codificación segura citadas en el capítulo 4.</w:t>
            </w:r>
          </w:p>
        </w:tc>
      </w:tr>
      <w:tr>
        <w:tc>
          <w:tcPr>
            <w:tcW w:type="dxa" w:w="4200"/>
            <w:shd w:fill="FFFFFF" w:val="clear"/>
            <w:tcMar>
              <w:top w:type="dxa" w:w="80"/>
              <w:left w:type="dxa" w:w="100"/>
              <w:bottom w:type="dxa" w:w="80"/>
              <w:right w:type="dxa" w:w="100"/>
            </w:tcMar>
            <w:vAlign w:val="center"/>
          </w:tcPr>
          <w:p>
            <w:pPr>
              <w:jc w:val="left"/>
            </w:pPr>
            <w:r>
              <w:rPr>
                <w:b w:val="false"/>
                <w:bCs w:val="false"/>
                <w:color w:val="000000"/>
              </w:rPr>
              <w:t xml:space="preserve">The Twelve-Factor App (12factor.net)</w:t>
            </w:r>
          </w:p>
        </w:tc>
        <w:tc>
          <w:tcPr>
            <w:tcW w:type="dxa" w:w="5150"/>
            <w:shd w:fill="FFFFFF" w:val="clear"/>
            <w:tcMar>
              <w:top w:type="dxa" w:w="80"/>
              <w:left w:type="dxa" w:w="100"/>
              <w:bottom w:type="dxa" w:w="80"/>
              <w:right w:type="dxa" w:w="100"/>
            </w:tcMar>
            <w:vAlign w:val="center"/>
          </w:tcPr>
          <w:p>
            <w:pPr>
              <w:jc w:val="left"/>
            </w:pPr>
            <w:r>
              <w:rPr>
                <w:b w:val="false"/>
                <w:bCs w:val="false"/>
                <w:color w:val="000000"/>
              </w:rPr>
              <w:t xml:space="preserve">Referencia externa adoptada íntegramente en la sección 5.3.</w:t>
            </w:r>
          </w:p>
        </w:tc>
      </w:tr>
      <w:tr>
        <w:tc>
          <w:tcPr>
            <w:tcW w:type="dxa" w:w="4200"/>
            <w:shd w:fill="F2F2F2" w:val="clear"/>
            <w:tcMar>
              <w:top w:type="dxa" w:w="80"/>
              <w:left w:type="dxa" w:w="100"/>
              <w:bottom w:type="dxa" w:w="80"/>
              <w:right w:type="dxa" w:w="100"/>
            </w:tcMar>
            <w:vAlign w:val="center"/>
          </w:tcPr>
          <w:p>
            <w:pPr>
              <w:jc w:val="left"/>
            </w:pPr>
            <w:r>
              <w:rPr>
                <w:b w:val="false"/>
                <w:bCs w:val="false"/>
                <w:color w:val="000000"/>
              </w:rPr>
              <w:t xml:space="preserve">Conventional Commits v1.0.0</w:t>
            </w:r>
          </w:p>
        </w:tc>
        <w:tc>
          <w:tcPr>
            <w:tcW w:type="dxa" w:w="5150"/>
            <w:shd w:fill="F2F2F2" w:val="clear"/>
            <w:tcMar>
              <w:top w:type="dxa" w:w="80"/>
              <w:left w:type="dxa" w:w="100"/>
              <w:bottom w:type="dxa" w:w="80"/>
              <w:right w:type="dxa" w:w="100"/>
            </w:tcMar>
            <w:vAlign w:val="center"/>
          </w:tcPr>
          <w:p>
            <w:pPr>
              <w:jc w:val="left"/>
            </w:pPr>
            <w:r>
              <w:rPr>
                <w:b w:val="false"/>
                <w:bCs w:val="false"/>
                <w:color w:val="000000"/>
              </w:rPr>
              <w:t xml:space="preserve">Especificación externa adoptada íntegramente en la sección 3.2.</w:t>
            </w:r>
          </w:p>
        </w:tc>
      </w:tr>
    </w:tbl>
    <w:p>
      <w:pPr>
        <w:spacing w:after="200" w:line="276"/>
      </w:pPr>
      <w:r>
        <w:t xml:space="preserve">Ante cualquier conflicto aparente entre este documento y una guía específica de lenguaje no listada aquí, prevalece este documento; las excepciones deben tramitarse ante la Guild de Ingeniería.</w:t>
      </w:r>
    </w:p>
    <w:p>
      <w:pPr>
        <w:pStyle w:val="Heading1"/>
        <w:pageBreakBefore/>
        <w:spacing w:after="240" w:before="480"/>
      </w:pPr>
      <w:r>
        <w:rPr>
          <w:b/>
          <w:bCs/>
        </w:rPr>
        <w:t xml:space="preserve">3. Estrategia y Control de Versiones</w:t>
      </w:r>
    </w:p>
    <w:p>
      <w:pPr>
        <w:spacing w:after="200" w:line="276"/>
      </w:pPr>
      <w:r>
        <w:t xml:space="preserve">Este capítulo define cómo se organiza el trabajo en el control de versiones: el modelo de ramas, el formato de los mensajes de commit y el proceso de revisión de código.</w:t>
      </w:r>
    </w:p>
    <w:p>
      <w:pPr>
        <w:pStyle w:val="Heading2"/>
        <w:spacing w:after="180" w:before="360"/>
      </w:pPr>
      <w:r>
        <w:rPr>
          <w:b/>
          <w:bCs/>
        </w:rPr>
        <w:t xml:space="preserve">3.1. Modelo de Branching Estándar (Trunk-Based Development / GitFlow Adaptado)</w:t>
      </w:r>
    </w:p>
    <w:p>
      <w:pPr>
        <w:spacing w:after="200" w:line="276"/>
      </w:pPr>
      <w:r>
        <w:t xml:space="preserve">La organización adopta Trunk-Based Development como modelo por defecto, reservando GitFlow Adaptado para escenarios específicos donde se requiere estabilización prolongada de una versión.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50"/>
      </w:tblGrid>
      <w:tr>
        <w:trPr>
          <w:tblHeader/>
        </w:trPr>
        <w:tc>
          <w:tcPr>
            <w:tcW w:type="dxa" w:w="3200"/>
            <w:shd w:fill="1F3864" w:val="clear"/>
            <w:tcMar>
              <w:top w:type="dxa" w:w="80"/>
              <w:left w:type="dxa" w:w="100"/>
              <w:bottom w:type="dxa" w:w="80"/>
              <w:right w:type="dxa" w:w="100"/>
            </w:tcMar>
            <w:vAlign w:val="center"/>
          </w:tcPr>
          <w:p>
            <w:pPr>
              <w:jc w:val="left"/>
            </w:pPr>
            <w:r>
              <w:rPr>
                <w:b/>
                <w:bCs/>
                <w:color w:val="FFFFFF"/>
              </w:rPr>
              <w:t xml:space="preserve">Escenario</w:t>
            </w:r>
          </w:p>
        </w:tc>
        <w:tc>
          <w:tcPr>
            <w:tcW w:type="dxa" w:w="3000"/>
            <w:shd w:fill="1F3864" w:val="clear"/>
            <w:tcMar>
              <w:top w:type="dxa" w:w="80"/>
              <w:left w:type="dxa" w:w="100"/>
              <w:bottom w:type="dxa" w:w="80"/>
              <w:right w:type="dxa" w:w="100"/>
            </w:tcMar>
            <w:vAlign w:val="center"/>
          </w:tcPr>
          <w:p>
            <w:pPr>
              <w:jc w:val="left"/>
            </w:pPr>
            <w:r>
              <w:rPr>
                <w:b/>
                <w:bCs/>
                <w:color w:val="FFFFFF"/>
              </w:rPr>
              <w:t xml:space="preserve">Modelo Recomendado</w:t>
            </w:r>
          </w:p>
        </w:tc>
        <w:tc>
          <w:tcPr>
            <w:tcW w:type="dxa" w:w="3150"/>
            <w:shd w:fill="1F3864" w:val="clear"/>
            <w:tcMar>
              <w:top w:type="dxa" w:w="80"/>
              <w:left w:type="dxa" w:w="100"/>
              <w:bottom w:type="dxa" w:w="80"/>
              <w:right w:type="dxa" w:w="100"/>
            </w:tcMar>
            <w:vAlign w:val="center"/>
          </w:tcPr>
          <w:p>
            <w:pPr>
              <w:jc w:val="left"/>
            </w:pPr>
            <w:r>
              <w:rPr>
                <w:b/>
                <w:bCs/>
                <w:color w:val="FFFFFF"/>
              </w:rPr>
              <w:t xml:space="preserve">Justificación</w:t>
            </w:r>
          </w:p>
        </w:tc>
      </w:tr>
      <w:tr>
        <w:tc>
          <w:tcPr>
            <w:tcW w:type="dxa" w:w="3200"/>
            <w:shd w:fill="FFFFFF" w:val="clear"/>
            <w:tcMar>
              <w:top w:type="dxa" w:w="80"/>
              <w:left w:type="dxa" w:w="100"/>
              <w:bottom w:type="dxa" w:w="80"/>
              <w:right w:type="dxa" w:w="100"/>
            </w:tcMar>
            <w:vAlign w:val="center"/>
          </w:tcPr>
          <w:p>
            <w:pPr>
              <w:jc w:val="left"/>
            </w:pPr>
            <w:r>
              <w:rPr>
                <w:b w:val="false"/>
                <w:bCs w:val="false"/>
                <w:color w:val="000000"/>
              </w:rPr>
              <w:t xml:space="preserve">Producto con despliegue continuo (SaaS, microservicios)</w:t>
            </w:r>
          </w:p>
        </w:tc>
        <w:tc>
          <w:tcPr>
            <w:tcW w:type="dxa" w:w="3000"/>
            <w:shd w:fill="FFFFFF" w:val="clear"/>
            <w:tcMar>
              <w:top w:type="dxa" w:w="80"/>
              <w:left w:type="dxa" w:w="100"/>
              <w:bottom w:type="dxa" w:w="80"/>
              <w:right w:type="dxa" w:w="100"/>
            </w:tcMar>
            <w:vAlign w:val="center"/>
          </w:tcPr>
          <w:p>
            <w:pPr>
              <w:jc w:val="left"/>
            </w:pPr>
            <w:r>
              <w:rPr>
                <w:b w:val="false"/>
                <w:bCs w:val="false"/>
                <w:color w:val="000000"/>
              </w:rPr>
              <w:t xml:space="preserve">Trunk-Based Development</w:t>
            </w:r>
          </w:p>
        </w:tc>
        <w:tc>
          <w:tcPr>
            <w:tcW w:type="dxa" w:w="3150"/>
            <w:shd w:fill="FFFFFF" w:val="clear"/>
            <w:tcMar>
              <w:top w:type="dxa" w:w="80"/>
              <w:left w:type="dxa" w:w="100"/>
              <w:bottom w:type="dxa" w:w="80"/>
              <w:right w:type="dxa" w:w="100"/>
            </w:tcMar>
            <w:vAlign w:val="center"/>
          </w:tcPr>
          <w:p>
            <w:pPr>
              <w:jc w:val="left"/>
            </w:pPr>
            <w:r>
              <w:rPr>
                <w:b w:val="false"/>
                <w:bCs w:val="false"/>
                <w:color w:val="000000"/>
              </w:rPr>
              <w:t xml:space="preserve">Maximiza la integración continua y minimiza el costo de fusión; alineado a GOB-001 (Deployment Frequency).</w:t>
            </w:r>
          </w:p>
        </w:tc>
      </w:tr>
      <w:tr>
        <w:tc>
          <w:tcPr>
            <w:tcW w:type="dxa" w:w="3200"/>
            <w:shd w:fill="F2F2F2" w:val="clear"/>
            <w:tcMar>
              <w:top w:type="dxa" w:w="80"/>
              <w:left w:type="dxa" w:w="100"/>
              <w:bottom w:type="dxa" w:w="80"/>
              <w:right w:type="dxa" w:w="100"/>
            </w:tcMar>
            <w:vAlign w:val="center"/>
          </w:tcPr>
          <w:p>
            <w:pPr>
              <w:jc w:val="left"/>
            </w:pPr>
            <w:r>
              <w:rPr>
                <w:b w:val="false"/>
                <w:bCs w:val="false"/>
                <w:color w:val="000000"/>
              </w:rPr>
              <w:t xml:space="preserve">Producto con ciclos de release regulados o certificación externa</w:t>
            </w:r>
          </w:p>
        </w:tc>
        <w:tc>
          <w:tcPr>
            <w:tcW w:type="dxa" w:w="3000"/>
            <w:shd w:fill="F2F2F2" w:val="clear"/>
            <w:tcMar>
              <w:top w:type="dxa" w:w="80"/>
              <w:left w:type="dxa" w:w="100"/>
              <w:bottom w:type="dxa" w:w="80"/>
              <w:right w:type="dxa" w:w="100"/>
            </w:tcMar>
            <w:vAlign w:val="center"/>
          </w:tcPr>
          <w:p>
            <w:pPr>
              <w:jc w:val="left"/>
            </w:pPr>
            <w:r>
              <w:rPr>
                <w:b w:val="false"/>
                <w:bCs w:val="false"/>
                <w:color w:val="000000"/>
              </w:rPr>
              <w:t xml:space="preserve">GitFlow Adaptado</w:t>
            </w:r>
          </w:p>
        </w:tc>
        <w:tc>
          <w:tcPr>
            <w:tcW w:type="dxa" w:w="3150"/>
            <w:shd w:fill="F2F2F2" w:val="clear"/>
            <w:tcMar>
              <w:top w:type="dxa" w:w="80"/>
              <w:left w:type="dxa" w:w="100"/>
              <w:bottom w:type="dxa" w:w="80"/>
              <w:right w:type="dxa" w:w="100"/>
            </w:tcMar>
            <w:vAlign w:val="center"/>
          </w:tcPr>
          <w:p>
            <w:pPr>
              <w:jc w:val="left"/>
            </w:pPr>
            <w:r>
              <w:rPr>
                <w:b w:val="false"/>
                <w:bCs w:val="false"/>
                <w:color w:val="000000"/>
              </w:rPr>
              <w:t xml:space="preserve">Permite estabilizar una rama de release sin bloquear el desarrollo de la siguiente versión.</w:t>
            </w:r>
          </w:p>
        </w:tc>
      </w:tr>
      <w:tr>
        <w:tc>
          <w:tcPr>
            <w:tcW w:type="dxa" w:w="3200"/>
            <w:shd w:fill="FFFFFF" w:val="clear"/>
            <w:tcMar>
              <w:top w:type="dxa" w:w="80"/>
              <w:left w:type="dxa" w:w="100"/>
              <w:bottom w:type="dxa" w:w="80"/>
              <w:right w:type="dxa" w:w="100"/>
            </w:tcMar>
            <w:vAlign w:val="center"/>
          </w:tcPr>
          <w:p>
            <w:pPr>
              <w:jc w:val="left"/>
            </w:pPr>
            <w:r>
              <w:rPr>
                <w:b w:val="false"/>
                <w:bCs w:val="false"/>
                <w:color w:val="000000"/>
              </w:rPr>
              <w:t xml:space="preserve">Librerías y componentes compartidos internos</w:t>
            </w:r>
          </w:p>
        </w:tc>
        <w:tc>
          <w:tcPr>
            <w:tcW w:type="dxa" w:w="3000"/>
            <w:shd w:fill="FFFFFF" w:val="clear"/>
            <w:tcMar>
              <w:top w:type="dxa" w:w="80"/>
              <w:left w:type="dxa" w:w="100"/>
              <w:bottom w:type="dxa" w:w="80"/>
              <w:right w:type="dxa" w:w="100"/>
            </w:tcMar>
            <w:vAlign w:val="center"/>
          </w:tcPr>
          <w:p>
            <w:pPr>
              <w:jc w:val="left"/>
            </w:pPr>
            <w:r>
              <w:rPr>
                <w:b w:val="false"/>
                <w:bCs w:val="false"/>
                <w:color w:val="000000"/>
              </w:rPr>
              <w:t xml:space="preserve">Trunk-Based Development con ramas de corta vida (&lt; 2 días)</w:t>
            </w:r>
          </w:p>
        </w:tc>
        <w:tc>
          <w:tcPr>
            <w:tcW w:type="dxa" w:w="3150"/>
            <w:shd w:fill="FFFFFF" w:val="clear"/>
            <w:tcMar>
              <w:top w:type="dxa" w:w="80"/>
              <w:left w:type="dxa" w:w="100"/>
              <w:bottom w:type="dxa" w:w="80"/>
              <w:right w:type="dxa" w:w="100"/>
            </w:tcMar>
            <w:vAlign w:val="center"/>
          </w:tcPr>
          <w:p>
            <w:pPr>
              <w:jc w:val="left"/>
            </w:pPr>
            <w:r>
              <w:rPr>
                <w:b w:val="false"/>
                <w:bCs w:val="false"/>
                <w:color w:val="000000"/>
              </w:rPr>
              <w:t xml:space="preserve">Reduce el riesgo de divergencia entre consumidores de la librería.</w:t>
            </w:r>
          </w:p>
        </w:tc>
      </w:tr>
    </w:tbl>
    <w:p>
      <w:pPr>
        <w:pStyle w:val="ListParagraph"/>
        <w:numPr>
          <w:ilvl w:val="0"/>
          <w:numId w:val="2"/>
        </w:numPr>
        <w:spacing w:after="120"/>
      </w:pPr>
      <w:r>
        <w:t xml:space="preserve">Las ramas de funcionalidad (feature branches) tienen una vida máxima recomendada de 2 días hábiles antes de fusionarse a la rama principal.</w:t>
      </w:r>
    </w:p>
    <w:p>
      <w:pPr>
        <w:pStyle w:val="ListParagraph"/>
        <w:numPr>
          <w:ilvl w:val="0"/>
          <w:numId w:val="2"/>
        </w:numPr>
        <w:spacing w:after="120"/>
      </w:pPr>
      <w:r>
        <w:t xml:space="preserve">La rama principal (main/trunk) se mantiene siempre desplegable; ningún commit roto puede permanecer fusionado.</w:t>
      </w:r>
    </w:p>
    <w:p>
      <w:pPr>
        <w:pStyle w:val="ListParagraph"/>
        <w:numPr>
          <w:ilvl w:val="0"/>
          <w:numId w:val="2"/>
        </w:numPr>
        <w:spacing w:after="120"/>
      </w:pPr>
      <w:r>
        <w:t xml:space="preserve">Los feature flags son el mecanismo preferido para ocultar funcionalidad incompleta, en lugar de ramas de larga duración.</w:t>
      </w:r>
    </w:p>
    <w:p>
      <w:pPr>
        <w:pStyle w:val="Heading2"/>
        <w:spacing w:after="180" w:before="360"/>
      </w:pPr>
      <w:r>
        <w:rPr>
          <w:b/>
          <w:bCs/>
        </w:rPr>
        <w:t xml:space="preserve">3.2. Estándar para Mensajes de Commit (Conventional Commits)</w:t>
      </w:r>
    </w:p>
    <w:p>
      <w:pPr>
        <w:spacing w:after="200" w:line="276"/>
      </w:pPr>
      <w:r>
        <w:t xml:space="preserve">Todo commit fusionado a la rama principal debe seguir la especificación Conventional Commits, lo que permite generar changelogs automáticos y determinar el tipo de versión semántica (semver) de cada release.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0"/>
            </w:pPr>
            <w:r>
              <w:rPr>
                <w:rFonts w:ascii="Consolas" w:cs="Consolas" w:eastAsia="Consolas" w:hAnsi="Consolas"/>
                <w:color w:val="D4D4D4"/>
                <w:sz w:val="18"/>
                <w:szCs w:val="18"/>
              </w:rPr>
              <w:t xml:space="preserve">&lt;tipo&gt;[ámbito opcional]: &lt;descripción breve en modo imperativo&gt;</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[cuerpo opcional, explicando el qué y el porqué del cambio]</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[pie opcional: BREAKING CHANGE, referencias a tickets]</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Ejemplo:</w:t>
            </w:r>
          </w:p>
          <w:p>
            <w:pPr>
              <w:spacing w:after="0"/>
            </w:pPr>
            <w:r>
              <w:rPr>
                <w:rFonts w:ascii="Consolas" w:cs="Consolas" w:eastAsia="Consolas" w:hAnsi="Consolas"/>
                <w:color w:val="D4D4D4"/>
                <w:sz w:val="18"/>
                <w:szCs w:val="18"/>
              </w:rPr>
              <w:t xml:space="preserve">feat(pagos): agregar soporte para reintentos en pasarela de pagos</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Implementa reintento con backoff exponencial ante fallos transitorios</w:t>
            </w:r>
          </w:p>
          <w:p>
            <w:pPr>
              <w:spacing w:after="0"/>
            </w:pPr>
            <w:r>
              <w:rPr>
                <w:rFonts w:ascii="Consolas" w:cs="Consolas" w:eastAsia="Consolas" w:hAnsi="Consolas"/>
                <w:color w:val="D4D4D4"/>
                <w:sz w:val="18"/>
                <w:szCs w:val="18"/>
              </w:rPr>
              <w:t xml:space="preserve">de la pasarela externa, reduciendo el Change Failure Rate observado.</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Refs: JIRA-4521</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7000"/>
      </w:tblGrid>
      <w:tr>
        <w:trPr>
          <w:tblHeader/>
        </w:trPr>
        <w:tc>
          <w:tcPr>
            <w:tcW w:type="dxa" w:w="2350"/>
            <w:shd w:fill="1F3864" w:val="clear"/>
            <w:tcMar>
              <w:top w:type="dxa" w:w="80"/>
              <w:left w:type="dxa" w:w="100"/>
              <w:bottom w:type="dxa" w:w="80"/>
              <w:right w:type="dxa" w:w="100"/>
            </w:tcMar>
            <w:vAlign w:val="center"/>
          </w:tcPr>
          <w:p>
            <w:pPr>
              <w:jc w:val="left"/>
            </w:pPr>
            <w:r>
              <w:rPr>
                <w:b/>
                <w:bCs/>
                <w:color w:val="FFFFFF"/>
              </w:rPr>
              <w:t xml:space="preserve">Tipo</w:t>
            </w:r>
          </w:p>
        </w:tc>
        <w:tc>
          <w:tcPr>
            <w:tcW w:type="dxa" w:w="7000"/>
            <w:shd w:fill="1F3864" w:val="clear"/>
            <w:tcMar>
              <w:top w:type="dxa" w:w="80"/>
              <w:left w:type="dxa" w:w="100"/>
              <w:bottom w:type="dxa" w:w="80"/>
              <w:right w:type="dxa" w:w="100"/>
            </w:tcMar>
            <w:vAlign w:val="center"/>
          </w:tcPr>
          <w:p>
            <w:pPr>
              <w:jc w:val="left"/>
            </w:pPr>
            <w:r>
              <w:rPr>
                <w:b/>
                <w:bCs/>
                <w:color w:val="FFFFFF"/>
              </w:rPr>
              <w:t xml:space="preserve">Uso</w:t>
            </w:r>
          </w:p>
        </w:tc>
      </w:tr>
      <w:tr>
        <w:tc>
          <w:tcPr>
            <w:tcW w:type="dxa" w:w="2350"/>
            <w:shd w:fill="FFFFFF" w:val="clear"/>
            <w:tcMar>
              <w:top w:type="dxa" w:w="80"/>
              <w:left w:type="dxa" w:w="100"/>
              <w:bottom w:type="dxa" w:w="80"/>
              <w:right w:type="dxa" w:w="100"/>
            </w:tcMar>
            <w:vAlign w:val="center"/>
          </w:tcPr>
          <w:p>
            <w:pPr>
              <w:jc w:val="left"/>
            </w:pPr>
            <w:r>
              <w:rPr>
                <w:b w:val="false"/>
                <w:bCs w:val="false"/>
                <w:color w:val="000000"/>
              </w:rPr>
              <w:t xml:space="preserve">feat</w:t>
            </w:r>
          </w:p>
        </w:tc>
        <w:tc>
          <w:tcPr>
            <w:tcW w:type="dxa" w:w="7000"/>
            <w:shd w:fill="FFFFFF" w:val="clear"/>
            <w:tcMar>
              <w:top w:type="dxa" w:w="80"/>
              <w:left w:type="dxa" w:w="100"/>
              <w:bottom w:type="dxa" w:w="80"/>
              <w:right w:type="dxa" w:w="100"/>
            </w:tcMar>
            <w:vAlign w:val="center"/>
          </w:tcPr>
          <w:p>
            <w:pPr>
              <w:jc w:val="left"/>
            </w:pPr>
            <w:r>
              <w:rPr>
                <w:b w:val="false"/>
                <w:bCs w:val="false"/>
                <w:color w:val="000000"/>
              </w:rPr>
              <w:t xml:space="preserve">Nueva funcionalidad visible para el usuario o consumidor de la API.</w:t>
            </w:r>
          </w:p>
        </w:tc>
      </w:tr>
      <w:tr>
        <w:tc>
          <w:tcPr>
            <w:tcW w:type="dxa" w:w="2350"/>
            <w:shd w:fill="F2F2F2" w:val="clear"/>
            <w:tcMar>
              <w:top w:type="dxa" w:w="80"/>
              <w:left w:type="dxa" w:w="100"/>
              <w:bottom w:type="dxa" w:w="80"/>
              <w:right w:type="dxa" w:w="100"/>
            </w:tcMar>
            <w:vAlign w:val="center"/>
          </w:tcPr>
          <w:p>
            <w:pPr>
              <w:jc w:val="left"/>
            </w:pPr>
            <w:r>
              <w:rPr>
                <w:b w:val="false"/>
                <w:bCs w:val="false"/>
                <w:color w:val="000000"/>
              </w:rPr>
              <w:t xml:space="preserve">fix</w:t>
            </w:r>
          </w:p>
        </w:tc>
        <w:tc>
          <w:tcPr>
            <w:tcW w:type="dxa" w:w="7000"/>
            <w:shd w:fill="F2F2F2" w:val="clear"/>
            <w:tcMar>
              <w:top w:type="dxa" w:w="80"/>
              <w:left w:type="dxa" w:w="100"/>
              <w:bottom w:type="dxa" w:w="80"/>
              <w:right w:type="dxa" w:w="100"/>
            </w:tcMar>
            <w:vAlign w:val="center"/>
          </w:tcPr>
          <w:p>
            <w:pPr>
              <w:jc w:val="left"/>
            </w:pPr>
            <w:r>
              <w:rPr>
                <w:b w:val="false"/>
                <w:bCs w:val="false"/>
                <w:color w:val="000000"/>
              </w:rPr>
              <w:t xml:space="preserve">Corrección de un defecto.</w:t>
            </w:r>
          </w:p>
        </w:tc>
      </w:tr>
      <w:tr>
        <w:tc>
          <w:tcPr>
            <w:tcW w:type="dxa" w:w="2350"/>
            <w:shd w:fill="FFFFFF" w:val="clear"/>
            <w:tcMar>
              <w:top w:type="dxa" w:w="80"/>
              <w:left w:type="dxa" w:w="100"/>
              <w:bottom w:type="dxa" w:w="80"/>
              <w:right w:type="dxa" w:w="100"/>
            </w:tcMar>
            <w:vAlign w:val="center"/>
          </w:tcPr>
          <w:p>
            <w:pPr>
              <w:jc w:val="left"/>
            </w:pPr>
            <w:r>
              <w:rPr>
                <w:b w:val="false"/>
                <w:bCs w:val="false"/>
                <w:color w:val="000000"/>
              </w:rPr>
              <w:t xml:space="preserve">refactor</w:t>
            </w:r>
          </w:p>
        </w:tc>
        <w:tc>
          <w:tcPr>
            <w:tcW w:type="dxa" w:w="7000"/>
            <w:shd w:fill="FFFFFF" w:val="clear"/>
            <w:tcMar>
              <w:top w:type="dxa" w:w="80"/>
              <w:left w:type="dxa" w:w="100"/>
              <w:bottom w:type="dxa" w:w="80"/>
              <w:right w:type="dxa" w:w="100"/>
            </w:tcMar>
            <w:vAlign w:val="center"/>
          </w:tcPr>
          <w:p>
            <w:pPr>
              <w:jc w:val="left"/>
            </w:pPr>
            <w:r>
              <w:rPr>
                <w:b w:val="false"/>
                <w:bCs w:val="false"/>
                <w:color w:val="000000"/>
              </w:rPr>
              <w:t xml:space="preserve">Cambio de estructura interna sin alterar el comportamiento observable.</w:t>
            </w:r>
          </w:p>
        </w:tc>
      </w:tr>
      <w:tr>
        <w:tc>
          <w:tcPr>
            <w:tcW w:type="dxa" w:w="2350"/>
            <w:shd w:fill="F2F2F2" w:val="clear"/>
            <w:tcMar>
              <w:top w:type="dxa" w:w="80"/>
              <w:left w:type="dxa" w:w="100"/>
              <w:bottom w:type="dxa" w:w="80"/>
              <w:right w:type="dxa" w:w="100"/>
            </w:tcMar>
            <w:vAlign w:val="center"/>
          </w:tcPr>
          <w:p>
            <w:pPr>
              <w:jc w:val="left"/>
            </w:pPr>
            <w:r>
              <w:rPr>
                <w:b w:val="false"/>
                <w:bCs w:val="false"/>
                <w:color w:val="000000"/>
              </w:rPr>
              <w:t xml:space="preserve">perf</w:t>
            </w:r>
          </w:p>
        </w:tc>
        <w:tc>
          <w:tcPr>
            <w:tcW w:type="dxa" w:w="7000"/>
            <w:shd w:fill="F2F2F2" w:val="clear"/>
            <w:tcMar>
              <w:top w:type="dxa" w:w="80"/>
              <w:left w:type="dxa" w:w="100"/>
              <w:bottom w:type="dxa" w:w="80"/>
              <w:right w:type="dxa" w:w="100"/>
            </w:tcMar>
            <w:vAlign w:val="center"/>
          </w:tcPr>
          <w:p>
            <w:pPr>
              <w:jc w:val="left"/>
            </w:pPr>
            <w:r>
              <w:rPr>
                <w:b w:val="false"/>
                <w:bCs w:val="false"/>
                <w:color w:val="000000"/>
              </w:rPr>
              <w:t xml:space="preserve">Mejora de rendimiento.</w:t>
            </w:r>
          </w:p>
        </w:tc>
      </w:tr>
      <w:tr>
        <w:tc>
          <w:tcPr>
            <w:tcW w:type="dxa" w:w="2350"/>
            <w:shd w:fill="FFFFFF" w:val="clear"/>
            <w:tcMar>
              <w:top w:type="dxa" w:w="80"/>
              <w:left w:type="dxa" w:w="100"/>
              <w:bottom w:type="dxa" w:w="80"/>
              <w:right w:type="dxa" w:w="100"/>
            </w:tcMar>
            <w:vAlign w:val="center"/>
          </w:tcPr>
          <w:p>
            <w:pPr>
              <w:jc w:val="left"/>
            </w:pPr>
            <w:r>
              <w:rPr>
                <w:b w:val="false"/>
                <w:bCs w:val="false"/>
                <w:color w:val="000000"/>
              </w:rPr>
              <w:t xml:space="preserve">test</w:t>
            </w:r>
          </w:p>
        </w:tc>
        <w:tc>
          <w:tcPr>
            <w:tcW w:type="dxa" w:w="7000"/>
            <w:shd w:fill="FFFFFF" w:val="clear"/>
            <w:tcMar>
              <w:top w:type="dxa" w:w="80"/>
              <w:left w:type="dxa" w:w="100"/>
              <w:bottom w:type="dxa" w:w="80"/>
              <w:right w:type="dxa" w:w="100"/>
            </w:tcMar>
            <w:vAlign w:val="center"/>
          </w:tcPr>
          <w:p>
            <w:pPr>
              <w:jc w:val="left"/>
            </w:pPr>
            <w:r>
              <w:rPr>
                <w:b w:val="false"/>
                <w:bCs w:val="false"/>
                <w:color w:val="000000"/>
              </w:rPr>
              <w:t xml:space="preserve">Adición o corrección de pruebas.</w:t>
            </w:r>
          </w:p>
        </w:tc>
      </w:tr>
      <w:tr>
        <w:tc>
          <w:tcPr>
            <w:tcW w:type="dxa" w:w="2350"/>
            <w:shd w:fill="F2F2F2" w:val="clear"/>
            <w:tcMar>
              <w:top w:type="dxa" w:w="80"/>
              <w:left w:type="dxa" w:w="100"/>
              <w:bottom w:type="dxa" w:w="80"/>
              <w:right w:type="dxa" w:w="100"/>
            </w:tcMar>
            <w:vAlign w:val="center"/>
          </w:tcPr>
          <w:p>
            <w:pPr>
              <w:jc w:val="left"/>
            </w:pPr>
            <w:r>
              <w:rPr>
                <w:b w:val="false"/>
                <w:bCs w:val="false"/>
                <w:color w:val="000000"/>
              </w:rPr>
              <w:t xml:space="preserve">docs</w:t>
            </w:r>
          </w:p>
        </w:tc>
        <w:tc>
          <w:tcPr>
            <w:tcW w:type="dxa" w:w="7000"/>
            <w:shd w:fill="F2F2F2" w:val="clear"/>
            <w:tcMar>
              <w:top w:type="dxa" w:w="80"/>
              <w:left w:type="dxa" w:w="100"/>
              <w:bottom w:type="dxa" w:w="80"/>
              <w:right w:type="dxa" w:w="100"/>
            </w:tcMar>
            <w:vAlign w:val="center"/>
          </w:tcPr>
          <w:p>
            <w:pPr>
              <w:jc w:val="left"/>
            </w:pPr>
            <w:r>
              <w:rPr>
                <w:b w:val="false"/>
                <w:bCs w:val="false"/>
                <w:color w:val="000000"/>
              </w:rPr>
              <w:t xml:space="preserve">Cambios exclusivos de documentación.</w:t>
            </w:r>
          </w:p>
        </w:tc>
      </w:tr>
      <w:tr>
        <w:tc>
          <w:tcPr>
            <w:tcW w:type="dxa" w:w="2350"/>
            <w:shd w:fill="FFFFFF" w:val="clear"/>
            <w:tcMar>
              <w:top w:type="dxa" w:w="80"/>
              <w:left w:type="dxa" w:w="100"/>
              <w:bottom w:type="dxa" w:w="80"/>
              <w:right w:type="dxa" w:w="100"/>
            </w:tcMar>
            <w:vAlign w:val="center"/>
          </w:tcPr>
          <w:p>
            <w:pPr>
              <w:jc w:val="left"/>
            </w:pPr>
            <w:r>
              <w:rPr>
                <w:b w:val="false"/>
                <w:bCs w:val="false"/>
                <w:color w:val="000000"/>
              </w:rPr>
              <w:t xml:space="preserve">chore</w:t>
            </w:r>
          </w:p>
        </w:tc>
        <w:tc>
          <w:tcPr>
            <w:tcW w:type="dxa" w:w="7000"/>
            <w:shd w:fill="FFFFFF" w:val="clear"/>
            <w:tcMar>
              <w:top w:type="dxa" w:w="80"/>
              <w:left w:type="dxa" w:w="100"/>
              <w:bottom w:type="dxa" w:w="80"/>
              <w:right w:type="dxa" w:w="100"/>
            </w:tcMar>
            <w:vAlign w:val="center"/>
          </w:tcPr>
          <w:p>
            <w:pPr>
              <w:jc w:val="left"/>
            </w:pPr>
            <w:r>
              <w:rPr>
                <w:b w:val="false"/>
                <w:bCs w:val="false"/>
                <w:color w:val="000000"/>
              </w:rPr>
              <w:t xml:space="preserve">Tareas de mantenimiento que no afectan código de producción (dependencias, configuración de CI).</w:t>
            </w:r>
          </w:p>
        </w:tc>
      </w:tr>
      <w:tr>
        <w:tc>
          <w:tcPr>
            <w:tcW w:type="dxa" w:w="2350"/>
            <w:shd w:fill="F2F2F2" w:val="clear"/>
            <w:tcMar>
              <w:top w:type="dxa" w:w="80"/>
              <w:left w:type="dxa" w:w="100"/>
              <w:bottom w:type="dxa" w:w="80"/>
              <w:right w:type="dxa" w:w="100"/>
            </w:tcMar>
            <w:vAlign w:val="center"/>
          </w:tcPr>
          <w:p>
            <w:pPr>
              <w:jc w:val="left"/>
            </w:pPr>
            <w:r>
              <w:rPr>
                <w:b w:val="false"/>
                <w:bCs w:val="false"/>
                <w:color w:val="000000"/>
              </w:rPr>
              <w:t xml:space="preserve">security</w:t>
            </w:r>
          </w:p>
        </w:tc>
        <w:tc>
          <w:tcPr>
            <w:tcW w:type="dxa" w:w="7000"/>
            <w:shd w:fill="F2F2F2" w:val="clear"/>
            <w:tcMar>
              <w:top w:type="dxa" w:w="80"/>
              <w:left w:type="dxa" w:w="100"/>
              <w:bottom w:type="dxa" w:w="80"/>
              <w:right w:type="dxa" w:w="100"/>
            </w:tcMar>
            <w:vAlign w:val="center"/>
          </w:tcPr>
          <w:p>
            <w:pPr>
              <w:jc w:val="left"/>
            </w:pPr>
            <w:r>
              <w:rPr>
                <w:b w:val="false"/>
                <w:bCs w:val="false"/>
                <w:color w:val="000000"/>
              </w:rPr>
              <w:t xml:space="preserve">Corrección relacionada con un hallazgo de seguridad (vinculado a SEC-001).</w:t>
            </w:r>
          </w:p>
        </w:tc>
      </w:tr>
    </w:tbl>
    <w:p>
      <w:pPr>
        <w:pStyle w:val="Heading2"/>
        <w:spacing w:after="180" w:before="360"/>
      </w:pPr>
      <w:r>
        <w:rPr>
          <w:b/>
          <w:bCs/>
        </w:rPr>
        <w:t xml:space="preserve">3.3. Estándar para Pull Requests / Merge Requests y Revisiones de Código (Peer Review)</w:t>
      </w:r>
    </w:p>
    <w:p>
      <w:pPr>
        <w:spacing w:after="200" w:line="276"/>
      </w:pPr>
      <w:r>
        <w:t xml:space="preserve">Toda fusión a la rama principal se realiza exclusivamente mediante Pull Request / Merge Request, nunca por push directo. La siguiente checklist es de cumplimiento obligatorio antes de aprobar una fusión: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650"/>
        <w:gridCol w:w="2700"/>
      </w:tblGrid>
      <w:tr>
        <w:trPr>
          <w:tblHeader/>
        </w:trPr>
        <w:tc>
          <w:tcPr>
            <w:tcW w:type="dxa" w:w="6650"/>
            <w:shd w:fill="1F3864" w:val="clear"/>
            <w:tcMar>
              <w:top w:type="dxa" w:w="80"/>
              <w:left w:type="dxa" w:w="100"/>
              <w:bottom w:type="dxa" w:w="80"/>
              <w:right w:type="dxa" w:w="100"/>
            </w:tcMar>
            <w:vAlign w:val="center"/>
          </w:tcPr>
          <w:p>
            <w:pPr>
              <w:jc w:val="left"/>
            </w:pPr>
            <w:r>
              <w:rPr>
                <w:b/>
                <w:bCs/>
                <w:color w:val="FFFFFF"/>
              </w:rPr>
              <w:t xml:space="preserve">Criterio</w:t>
            </w:r>
          </w:p>
        </w:tc>
        <w:tc>
          <w:tcPr>
            <w:tcW w:type="dxa" w:w="2700"/>
            <w:shd w:fill="1F3864" w:val="clear"/>
            <w:tcMar>
              <w:top w:type="dxa" w:w="80"/>
              <w:left w:type="dxa" w:w="100"/>
              <w:bottom w:type="dxa" w:w="80"/>
              <w:right w:type="dxa" w:w="100"/>
            </w:tcMar>
            <w:vAlign w:val="center"/>
          </w:tcPr>
          <w:p>
            <w:pPr>
              <w:jc w:val="left"/>
            </w:pPr>
            <w:r>
              <w:rPr>
                <w:b/>
                <w:bCs/>
                <w:color w:val="FFFFFF"/>
              </w:rPr>
              <w:t xml:space="preserve">Obligatorio</w:t>
            </w:r>
          </w:p>
        </w:tc>
      </w:tr>
      <w:tr>
        <w:tc>
          <w:tcPr>
            <w:tcW w:type="dxa" w:w="6650"/>
            <w:shd w:fill="FFFFFF" w:val="clear"/>
            <w:tcMar>
              <w:top w:type="dxa" w:w="80"/>
              <w:left w:type="dxa" w:w="100"/>
              <w:bottom w:type="dxa" w:w="80"/>
              <w:right w:type="dxa" w:w="100"/>
            </w:tcMar>
            <w:vAlign w:val="center"/>
          </w:tcPr>
          <w:p>
            <w:pPr>
              <w:jc w:val="left"/>
            </w:pPr>
            <w:r>
              <w:rPr>
                <w:b w:val="false"/>
                <w:bCs w:val="false"/>
                <w:color w:val="000000"/>
              </w:rPr>
              <w:t xml:space="preserve">Título y descripción siguen el estándar de Conventional Commits.</w:t>
            </w:r>
          </w:p>
        </w:tc>
        <w:tc>
          <w:tcPr>
            <w:tcW w:type="dxa" w:w="2700"/>
            <w:shd w:fill="FFFFFF" w:val="clear"/>
            <w:tcMar>
              <w:top w:type="dxa" w:w="80"/>
              <w:left w:type="dxa" w:w="100"/>
              <w:bottom w:type="dxa" w:w="80"/>
              <w:right w:type="dxa" w:w="100"/>
            </w:tcMar>
            <w:vAlign w:val="center"/>
          </w:tcPr>
          <w:p>
            <w:pPr>
              <w:jc w:val="left"/>
            </w:pPr>
            <w:r>
              <w:rPr>
                <w:b w:val="false"/>
                <w:bCs w:val="false"/>
                <w:color w:val="000000"/>
              </w:rPr>
              <w:t xml:space="preserve">Sí</w:t>
            </w:r>
          </w:p>
        </w:tc>
      </w:tr>
      <w:tr>
        <w:tc>
          <w:tcPr>
            <w:tcW w:type="dxa" w:w="6650"/>
            <w:shd w:fill="F2F2F2" w:val="clear"/>
            <w:tcMar>
              <w:top w:type="dxa" w:w="80"/>
              <w:left w:type="dxa" w:w="100"/>
              <w:bottom w:type="dxa" w:w="80"/>
              <w:right w:type="dxa" w:w="100"/>
            </w:tcMar>
            <w:vAlign w:val="center"/>
          </w:tcPr>
          <w:p>
            <w:pPr>
              <w:jc w:val="left"/>
            </w:pPr>
            <w:r>
              <w:rPr>
                <w:b w:val="false"/>
                <w:bCs w:val="false"/>
                <w:color w:val="000000"/>
              </w:rPr>
              <w:t xml:space="preserve">Como mínimo 1 aprobador distinto al autor (2 para cambios en componentes críticos).</w:t>
            </w:r>
          </w:p>
        </w:tc>
        <w:tc>
          <w:tcPr>
            <w:tcW w:type="dxa" w:w="2700"/>
            <w:shd w:fill="F2F2F2" w:val="clear"/>
            <w:tcMar>
              <w:top w:type="dxa" w:w="80"/>
              <w:left w:type="dxa" w:w="100"/>
              <w:bottom w:type="dxa" w:w="80"/>
              <w:right w:type="dxa" w:w="100"/>
            </w:tcMar>
            <w:vAlign w:val="center"/>
          </w:tcPr>
          <w:p>
            <w:pPr>
              <w:jc w:val="left"/>
            </w:pPr>
            <w:r>
              <w:rPr>
                <w:b w:val="false"/>
                <w:bCs w:val="false"/>
                <w:color w:val="000000"/>
              </w:rPr>
              <w:t xml:space="preserve">Sí</w:t>
            </w:r>
          </w:p>
        </w:tc>
      </w:tr>
      <w:tr>
        <w:tc>
          <w:tcPr>
            <w:tcW w:type="dxa" w:w="6650"/>
            <w:shd w:fill="FFFFFF" w:val="clear"/>
            <w:tcMar>
              <w:top w:type="dxa" w:w="80"/>
              <w:left w:type="dxa" w:w="100"/>
              <w:bottom w:type="dxa" w:w="80"/>
              <w:right w:type="dxa" w:w="100"/>
            </w:tcMar>
            <w:vAlign w:val="center"/>
          </w:tcPr>
          <w:p>
            <w:pPr>
              <w:jc w:val="left"/>
            </w:pPr>
            <w:r>
              <w:rPr>
                <w:b w:val="false"/>
                <w:bCs w:val="false"/>
                <w:color w:val="000000"/>
              </w:rPr>
              <w:t xml:space="preserve">Pipeline en verde: pruebas, SAST, SCA y detección de secretos sin hallazgos bloqueantes.</w:t>
            </w:r>
          </w:p>
        </w:tc>
        <w:tc>
          <w:tcPr>
            <w:tcW w:type="dxa" w:w="2700"/>
            <w:shd w:fill="FFFFFF" w:val="clear"/>
            <w:tcMar>
              <w:top w:type="dxa" w:w="80"/>
              <w:left w:type="dxa" w:w="100"/>
              <w:bottom w:type="dxa" w:w="80"/>
              <w:right w:type="dxa" w:w="100"/>
            </w:tcMar>
            <w:vAlign w:val="center"/>
          </w:tcPr>
          <w:p>
            <w:pPr>
              <w:jc w:val="left"/>
            </w:pPr>
            <w:r>
              <w:rPr>
                <w:b w:val="false"/>
                <w:bCs w:val="false"/>
                <w:color w:val="000000"/>
              </w:rPr>
              <w:t xml:space="preserve">Sí</w:t>
            </w:r>
          </w:p>
        </w:tc>
      </w:tr>
      <w:tr>
        <w:tc>
          <w:tcPr>
            <w:tcW w:type="dxa" w:w="6650"/>
            <w:shd w:fill="F2F2F2" w:val="clear"/>
            <w:tcMar>
              <w:top w:type="dxa" w:w="80"/>
              <w:left w:type="dxa" w:w="100"/>
              <w:bottom w:type="dxa" w:w="80"/>
              <w:right w:type="dxa" w:w="100"/>
            </w:tcMar>
            <w:vAlign w:val="center"/>
          </w:tcPr>
          <w:p>
            <w:pPr>
              <w:jc w:val="left"/>
            </w:pPr>
            <w:r>
              <w:rPr>
                <w:b w:val="false"/>
                <w:bCs w:val="false"/>
                <w:color w:val="000000"/>
              </w:rPr>
              <w:t xml:space="preserve">Cobertura de pruebas del código modificado ≥ 80 % (ver sección 5.1).</w:t>
            </w:r>
          </w:p>
        </w:tc>
        <w:tc>
          <w:tcPr>
            <w:tcW w:type="dxa" w:w="2700"/>
            <w:shd w:fill="F2F2F2" w:val="clear"/>
            <w:tcMar>
              <w:top w:type="dxa" w:w="80"/>
              <w:left w:type="dxa" w:w="100"/>
              <w:bottom w:type="dxa" w:w="80"/>
              <w:right w:type="dxa" w:w="100"/>
            </w:tcMar>
            <w:vAlign w:val="center"/>
          </w:tcPr>
          <w:p>
            <w:pPr>
              <w:jc w:val="left"/>
            </w:pPr>
            <w:r>
              <w:rPr>
                <w:b w:val="false"/>
                <w:bCs w:val="false"/>
                <w:color w:val="000000"/>
              </w:rPr>
              <w:t xml:space="preserve">Sí</w:t>
            </w:r>
          </w:p>
        </w:tc>
      </w:tr>
      <w:tr>
        <w:tc>
          <w:tcPr>
            <w:tcW w:type="dxa" w:w="6650"/>
            <w:shd w:fill="FFFFFF" w:val="clear"/>
            <w:tcMar>
              <w:top w:type="dxa" w:w="80"/>
              <w:left w:type="dxa" w:w="100"/>
              <w:bottom w:type="dxa" w:w="80"/>
              <w:right w:type="dxa" w:w="100"/>
            </w:tcMar>
            <w:vAlign w:val="center"/>
          </w:tcPr>
          <w:p>
            <w:pPr>
              <w:jc w:val="left"/>
            </w:pPr>
            <w:r>
              <w:rPr>
                <w:b w:val="false"/>
                <w:bCs w:val="false"/>
                <w:color w:val="000000"/>
              </w:rPr>
              <w:t xml:space="preserve">Sin comentarios de revisión sin resolver.</w:t>
            </w:r>
          </w:p>
        </w:tc>
        <w:tc>
          <w:tcPr>
            <w:tcW w:type="dxa" w:w="2700"/>
            <w:shd w:fill="FFFFFF" w:val="clear"/>
            <w:tcMar>
              <w:top w:type="dxa" w:w="80"/>
              <w:left w:type="dxa" w:w="100"/>
              <w:bottom w:type="dxa" w:w="80"/>
              <w:right w:type="dxa" w:w="100"/>
            </w:tcMar>
            <w:vAlign w:val="center"/>
          </w:tcPr>
          <w:p>
            <w:pPr>
              <w:jc w:val="left"/>
            </w:pPr>
            <w:r>
              <w:rPr>
                <w:b w:val="false"/>
                <w:bCs w:val="false"/>
                <w:color w:val="000000"/>
              </w:rPr>
              <w:t xml:space="preserve">Sí</w:t>
            </w:r>
          </w:p>
        </w:tc>
      </w:tr>
      <w:tr>
        <w:tc>
          <w:tcPr>
            <w:tcW w:type="dxa" w:w="6650"/>
            <w:shd w:fill="F2F2F2" w:val="clear"/>
            <w:tcMar>
              <w:top w:type="dxa" w:w="80"/>
              <w:left w:type="dxa" w:w="100"/>
              <w:bottom w:type="dxa" w:w="80"/>
              <w:right w:type="dxa" w:w="100"/>
            </w:tcMar>
            <w:vAlign w:val="center"/>
          </w:tcPr>
          <w:p>
            <w:pPr>
              <w:jc w:val="left"/>
            </w:pPr>
            <w:r>
              <w:rPr>
                <w:b w:val="false"/>
                <w:bCs w:val="false"/>
                <w:color w:val="000000"/>
              </w:rPr>
              <w:t xml:space="preserve">Documentación técnica actualizada si el cambio afecta contratos de API.</w:t>
            </w:r>
          </w:p>
        </w:tc>
        <w:tc>
          <w:tcPr>
            <w:tcW w:type="dxa" w:w="2700"/>
            <w:shd w:fill="F2F2F2" w:val="clear"/>
            <w:tcMar>
              <w:top w:type="dxa" w:w="80"/>
              <w:left w:type="dxa" w:w="100"/>
              <w:bottom w:type="dxa" w:w="80"/>
              <w:right w:type="dxa" w:w="100"/>
            </w:tcMar>
            <w:vAlign w:val="center"/>
          </w:tcPr>
          <w:p>
            <w:pPr>
              <w:jc w:val="left"/>
            </w:pPr>
            <w:r>
              <w:rPr>
                <w:b w:val="false"/>
                <w:bCs w:val="false"/>
                <w:color w:val="000000"/>
              </w:rPr>
              <w:t xml:space="preserve">Cuando aplique</w:t>
            </w:r>
          </w:p>
        </w:tc>
      </w:tr>
      <w:tr>
        <w:tc>
          <w:tcPr>
            <w:tcW w:type="dxa" w:w="6650"/>
            <w:shd w:fill="FFFFFF" w:val="clear"/>
            <w:tcMar>
              <w:top w:type="dxa" w:w="80"/>
              <w:left w:type="dxa" w:w="100"/>
              <w:bottom w:type="dxa" w:w="80"/>
              <w:right w:type="dxa" w:w="100"/>
            </w:tcMar>
            <w:vAlign w:val="center"/>
          </w:tcPr>
          <w:p>
            <w:pPr>
              <w:jc w:val="left"/>
            </w:pPr>
            <w:r>
              <w:rPr>
                <w:b w:val="false"/>
                <w:bCs w:val="false"/>
                <w:color w:val="000000"/>
              </w:rPr>
              <w:t xml:space="preserve">Etiqueta de tamaño del cambio (S/M/L) asignada automáticamente por el bot de CI.</w:t>
            </w:r>
          </w:p>
        </w:tc>
        <w:tc>
          <w:tcPr>
            <w:tcW w:type="dxa" w:w="2700"/>
            <w:shd w:fill="FFFFFF" w:val="clear"/>
            <w:tcMar>
              <w:top w:type="dxa" w:w="80"/>
              <w:left w:type="dxa" w:w="100"/>
              <w:bottom w:type="dxa" w:w="80"/>
              <w:right w:type="dxa" w:w="100"/>
            </w:tcMar>
            <w:vAlign w:val="center"/>
          </w:tcPr>
          <w:p>
            <w:pPr>
              <w:jc w:val="left"/>
            </w:pPr>
            <w:r>
              <w:rPr>
                <w:b w:val="false"/>
                <w:bCs w:val="false"/>
                <w:color w:val="000000"/>
              </w:rPr>
              <w:t xml:space="preserve">Informativo</w:t>
            </w:r>
          </w:p>
        </w:tc>
      </w:tr>
    </w:tbl>
    <w:p>
      <w:pPr>
        <w:spacing w:after="200" w:line="276"/>
      </w:pPr>
      <w:r>
        <w:t xml:space="preserve">El revisor evalúa tanto la corrección funcional como la adherencia a los estándares de este documento. Un Merge Request que solo cumple funcionalmente pero introduce deuda técnica no justificada debe ser observado, no aprobado.</w:t>
      </w:r>
    </w:p>
    <w:p>
      <w:pPr>
        <w:pStyle w:val="Heading1"/>
        <w:pageBreakBefore/>
        <w:spacing w:after="240" w:before="480"/>
      </w:pPr>
      <w:r>
        <w:rPr>
          <w:b/>
          <w:bCs/>
        </w:rPr>
        <w:t xml:space="preserve">4. Guías y Estándares de Codificación</w:t>
      </w:r>
    </w:p>
    <w:p>
      <w:pPr>
        <w:spacing w:after="200" w:line="276"/>
      </w:pPr>
      <w:r>
        <w:t xml:space="preserve">Este capítulo establece las convenciones mínimas de nomenclatura, manejo de errores y registro de eventos que deben seguirse independientemente del lenguaje de programación.</w:t>
      </w:r>
    </w:p>
    <w:p>
      <w:pPr>
        <w:pStyle w:val="Heading2"/>
        <w:spacing w:after="180" w:before="360"/>
      </w:pPr>
      <w:r>
        <w:rPr>
          <w:b/>
          <w:bCs/>
        </w:rPr>
        <w:t xml:space="preserve">4.1. Convenciones de Nombres y Estructura de Proyectos por Lenguaje</w:t>
      </w:r>
    </w:p>
    <w:p>
      <w:pPr>
        <w:spacing w:after="200" w:line="276"/>
      </w:pPr>
      <w:r>
        <w:t xml:space="preserve">Cada lenguaje sigue las convenciones de nomenclatura de su comunidad, aplicadas de forma consistente dentro de cada base de código: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1900"/>
        <w:gridCol w:w="1900"/>
        <w:gridCol w:w="1600"/>
        <w:gridCol w:w="1600"/>
      </w:tblGrid>
      <w:tr>
        <w:trPr>
          <w:tblHeader/>
        </w:trPr>
        <w:tc>
          <w:tcPr>
            <w:tcW w:type="dxa" w:w="2350"/>
            <w:shd w:fill="1F3864" w:val="clear"/>
            <w:tcMar>
              <w:top w:type="dxa" w:w="80"/>
              <w:left w:type="dxa" w:w="100"/>
              <w:bottom w:type="dxa" w:w="80"/>
              <w:right w:type="dxa" w:w="100"/>
            </w:tcMar>
            <w:vAlign w:val="center"/>
          </w:tcPr>
          <w:p>
            <w:pPr>
              <w:jc w:val="left"/>
            </w:pPr>
            <w:r>
              <w:rPr>
                <w:b/>
                <w:bCs/>
                <w:color w:val="FFFFFF"/>
              </w:rPr>
              <w:t xml:space="preserve">Lenguaje</w:t>
            </w:r>
          </w:p>
        </w:tc>
        <w:tc>
          <w:tcPr>
            <w:tcW w:type="dxa" w:w="1900"/>
            <w:shd w:fill="1F3864" w:val="clear"/>
            <w:tcMar>
              <w:top w:type="dxa" w:w="80"/>
              <w:left w:type="dxa" w:w="100"/>
              <w:bottom w:type="dxa" w:w="80"/>
              <w:right w:type="dxa" w:w="100"/>
            </w:tcMar>
            <w:vAlign w:val="center"/>
          </w:tcPr>
          <w:p>
            <w:pPr>
              <w:jc w:val="left"/>
            </w:pPr>
            <w:r>
              <w:rPr>
                <w:b/>
                <w:bCs/>
                <w:color w:val="FFFFFF"/>
              </w:rPr>
              <w:t xml:space="preserve">Clases / Tipos</w:t>
            </w:r>
          </w:p>
        </w:tc>
        <w:tc>
          <w:tcPr>
            <w:tcW w:type="dxa" w:w="1900"/>
            <w:shd w:fill="1F3864" w:val="clear"/>
            <w:tcMar>
              <w:top w:type="dxa" w:w="80"/>
              <w:left w:type="dxa" w:w="100"/>
              <w:bottom w:type="dxa" w:w="80"/>
              <w:right w:type="dxa" w:w="100"/>
            </w:tcMar>
            <w:vAlign w:val="center"/>
          </w:tcPr>
          <w:p>
            <w:pPr>
              <w:jc w:val="left"/>
            </w:pPr>
            <w:r>
              <w:rPr>
                <w:b/>
                <w:bCs/>
                <w:color w:val="FFFFFF"/>
              </w:rPr>
              <w:t xml:space="preserve">Funciones / Métodos</w:t>
            </w:r>
          </w:p>
        </w:tc>
        <w:tc>
          <w:tcPr>
            <w:tcW w:type="dxa" w:w="1600"/>
            <w:shd w:fill="1F3864" w:val="clear"/>
            <w:tcMar>
              <w:top w:type="dxa" w:w="80"/>
              <w:left w:type="dxa" w:w="100"/>
              <w:bottom w:type="dxa" w:w="80"/>
              <w:right w:type="dxa" w:w="100"/>
            </w:tcMar>
            <w:vAlign w:val="center"/>
          </w:tcPr>
          <w:p>
            <w:pPr>
              <w:jc w:val="left"/>
            </w:pPr>
            <w:r>
              <w:rPr>
                <w:b/>
                <w:bCs/>
                <w:color w:val="FFFFFF"/>
              </w:rPr>
              <w:t xml:space="preserve">Variables</w:t>
            </w:r>
          </w:p>
        </w:tc>
        <w:tc>
          <w:tcPr>
            <w:tcW w:type="dxa" w:w="1600"/>
            <w:shd w:fill="1F3864" w:val="clear"/>
            <w:tcMar>
              <w:top w:type="dxa" w:w="80"/>
              <w:left w:type="dxa" w:w="100"/>
              <w:bottom w:type="dxa" w:w="80"/>
              <w:right w:type="dxa" w:w="100"/>
            </w:tcMar>
            <w:vAlign w:val="center"/>
          </w:tcPr>
          <w:p>
            <w:pPr>
              <w:jc w:val="left"/>
            </w:pPr>
            <w:r>
              <w:rPr>
                <w:b/>
                <w:bCs/>
                <w:color w:val="FFFFFF"/>
              </w:rPr>
              <w:t xml:space="preserve">Constantes</w:t>
            </w:r>
          </w:p>
        </w:tc>
      </w:tr>
      <w:tr>
        <w:tc>
          <w:tcPr>
            <w:tcW w:type="dxa" w:w="2350"/>
            <w:shd w:fill="FFFFFF" w:val="clear"/>
            <w:tcMar>
              <w:top w:type="dxa" w:w="80"/>
              <w:left w:type="dxa" w:w="100"/>
              <w:bottom w:type="dxa" w:w="80"/>
              <w:right w:type="dxa" w:w="100"/>
            </w:tcMar>
            <w:vAlign w:val="center"/>
          </w:tcPr>
          <w:p>
            <w:pPr>
              <w:jc w:val="left"/>
            </w:pPr>
            <w:r>
              <w:rPr>
                <w:b w:val="false"/>
                <w:bCs w:val="false"/>
                <w:color w:val="000000"/>
              </w:rPr>
              <w:t xml:space="preserve">Java / Kotlin</w:t>
            </w:r>
          </w:p>
        </w:tc>
        <w:tc>
          <w:tcPr>
            <w:tcW w:type="dxa" w:w="1900"/>
            <w:shd w:fill="FFFFFF" w:val="clear"/>
            <w:tcMar>
              <w:top w:type="dxa" w:w="80"/>
              <w:left w:type="dxa" w:w="100"/>
              <w:bottom w:type="dxa" w:w="80"/>
              <w:right w:type="dxa" w:w="100"/>
            </w:tcMar>
            <w:vAlign w:val="center"/>
          </w:tcPr>
          <w:p>
            <w:pPr>
              <w:jc w:val="left"/>
            </w:pPr>
            <w:r>
              <w:rPr>
                <w:b w:val="false"/>
                <w:bCs w:val="false"/>
                <w:color w:val="000000"/>
              </w:rPr>
              <w:t xml:space="preserve">PascalCase</w:t>
            </w:r>
          </w:p>
        </w:tc>
        <w:tc>
          <w:tcPr>
            <w:tcW w:type="dxa" w:w="1900"/>
            <w:shd w:fill="FFFFFF" w:val="clear"/>
            <w:tcMar>
              <w:top w:type="dxa" w:w="80"/>
              <w:left w:type="dxa" w:w="100"/>
              <w:bottom w:type="dxa" w:w="80"/>
              <w:right w:type="dxa" w:w="100"/>
            </w:tcMar>
            <w:vAlign w:val="center"/>
          </w:tcPr>
          <w:p>
            <w:pPr>
              <w:jc w:val="left"/>
            </w:pPr>
            <w:r>
              <w:rPr>
                <w:b w:val="false"/>
                <w:bCs w:val="false"/>
                <w:color w:val="000000"/>
              </w:rPr>
              <w:t xml:space="preserve">camelCase</w:t>
            </w:r>
          </w:p>
        </w:tc>
        <w:tc>
          <w:tcPr>
            <w:tcW w:type="dxa" w:w="1600"/>
            <w:shd w:fill="FFFFFF" w:val="clear"/>
            <w:tcMar>
              <w:top w:type="dxa" w:w="80"/>
              <w:left w:type="dxa" w:w="100"/>
              <w:bottom w:type="dxa" w:w="80"/>
              <w:right w:type="dxa" w:w="100"/>
            </w:tcMar>
            <w:vAlign w:val="center"/>
          </w:tcPr>
          <w:p>
            <w:pPr>
              <w:jc w:val="left"/>
            </w:pPr>
            <w:r>
              <w:rPr>
                <w:b w:val="false"/>
                <w:bCs w:val="false"/>
                <w:color w:val="000000"/>
              </w:rPr>
              <w:t xml:space="preserve">camelCase</w:t>
            </w:r>
          </w:p>
        </w:tc>
        <w:tc>
          <w:tcPr>
            <w:tcW w:type="dxa" w:w="1600"/>
            <w:shd w:fill="FFFFFF" w:val="clear"/>
            <w:tcMar>
              <w:top w:type="dxa" w:w="80"/>
              <w:left w:type="dxa" w:w="100"/>
              <w:bottom w:type="dxa" w:w="80"/>
              <w:right w:type="dxa" w:w="100"/>
            </w:tcMar>
            <w:vAlign w:val="center"/>
          </w:tcPr>
          <w:p>
            <w:pPr>
              <w:jc w:val="left"/>
            </w:pPr>
            <w:r>
              <w:rPr>
                <w:b w:val="false"/>
                <w:bCs w:val="false"/>
                <w:color w:val="000000"/>
              </w:rPr>
              <w:t xml:space="preserve">UPPER_SNAKE_CASE</w:t>
            </w:r>
          </w:p>
        </w:tc>
      </w:tr>
      <w:tr>
        <w:tc>
          <w:tcPr>
            <w:tcW w:type="dxa" w:w="2350"/>
            <w:shd w:fill="F2F2F2" w:val="clear"/>
            <w:tcMar>
              <w:top w:type="dxa" w:w="80"/>
              <w:left w:type="dxa" w:w="100"/>
              <w:bottom w:type="dxa" w:w="80"/>
              <w:right w:type="dxa" w:w="100"/>
            </w:tcMar>
            <w:vAlign w:val="center"/>
          </w:tcPr>
          <w:p>
            <w:pPr>
              <w:jc w:val="left"/>
            </w:pPr>
            <w:r>
              <w:rPr>
                <w:b w:val="false"/>
                <w:bCs w:val="false"/>
                <w:color w:val="000000"/>
              </w:rPr>
              <w:t xml:space="preserve">JavaScript / TypeScript</w:t>
            </w:r>
          </w:p>
        </w:tc>
        <w:tc>
          <w:tcPr>
            <w:tcW w:type="dxa" w:w="1900"/>
            <w:shd w:fill="F2F2F2" w:val="clear"/>
            <w:tcMar>
              <w:top w:type="dxa" w:w="80"/>
              <w:left w:type="dxa" w:w="100"/>
              <w:bottom w:type="dxa" w:w="80"/>
              <w:right w:type="dxa" w:w="100"/>
            </w:tcMar>
            <w:vAlign w:val="center"/>
          </w:tcPr>
          <w:p>
            <w:pPr>
              <w:jc w:val="left"/>
            </w:pPr>
            <w:r>
              <w:rPr>
                <w:b w:val="false"/>
                <w:bCs w:val="false"/>
                <w:color w:val="000000"/>
              </w:rPr>
              <w:t xml:space="preserve">PascalCase</w:t>
            </w:r>
          </w:p>
        </w:tc>
        <w:tc>
          <w:tcPr>
            <w:tcW w:type="dxa" w:w="1900"/>
            <w:shd w:fill="F2F2F2" w:val="clear"/>
            <w:tcMar>
              <w:top w:type="dxa" w:w="80"/>
              <w:left w:type="dxa" w:w="100"/>
              <w:bottom w:type="dxa" w:w="80"/>
              <w:right w:type="dxa" w:w="100"/>
            </w:tcMar>
            <w:vAlign w:val="center"/>
          </w:tcPr>
          <w:p>
            <w:pPr>
              <w:jc w:val="left"/>
            </w:pPr>
            <w:r>
              <w:rPr>
                <w:b w:val="false"/>
                <w:bCs w:val="false"/>
                <w:color w:val="000000"/>
              </w:rPr>
              <w:t xml:space="preserve">camelCase</w:t>
            </w:r>
          </w:p>
        </w:tc>
        <w:tc>
          <w:tcPr>
            <w:tcW w:type="dxa" w:w="1600"/>
            <w:shd w:fill="F2F2F2" w:val="clear"/>
            <w:tcMar>
              <w:top w:type="dxa" w:w="80"/>
              <w:left w:type="dxa" w:w="100"/>
              <w:bottom w:type="dxa" w:w="80"/>
              <w:right w:type="dxa" w:w="100"/>
            </w:tcMar>
            <w:vAlign w:val="center"/>
          </w:tcPr>
          <w:p>
            <w:pPr>
              <w:jc w:val="left"/>
            </w:pPr>
            <w:r>
              <w:rPr>
                <w:b w:val="false"/>
                <w:bCs w:val="false"/>
                <w:color w:val="000000"/>
              </w:rPr>
              <w:t xml:space="preserve">camelCase</w:t>
            </w:r>
          </w:p>
        </w:tc>
        <w:tc>
          <w:tcPr>
            <w:tcW w:type="dxa" w:w="1600"/>
            <w:shd w:fill="F2F2F2" w:val="clear"/>
            <w:tcMar>
              <w:top w:type="dxa" w:w="80"/>
              <w:left w:type="dxa" w:w="100"/>
              <w:bottom w:type="dxa" w:w="80"/>
              <w:right w:type="dxa" w:w="100"/>
            </w:tcMar>
            <w:vAlign w:val="center"/>
          </w:tcPr>
          <w:p>
            <w:pPr>
              <w:jc w:val="left"/>
            </w:pPr>
            <w:r>
              <w:rPr>
                <w:b w:val="false"/>
                <w:bCs w:val="false"/>
                <w:color w:val="000000"/>
              </w:rPr>
              <w:t xml:space="preserve">UPPER_SNAKE_CASE</w:t>
            </w:r>
          </w:p>
        </w:tc>
      </w:tr>
      <w:tr>
        <w:tc>
          <w:tcPr>
            <w:tcW w:type="dxa" w:w="2350"/>
            <w:shd w:fill="FFFFFF" w:val="clear"/>
            <w:tcMar>
              <w:top w:type="dxa" w:w="80"/>
              <w:left w:type="dxa" w:w="100"/>
              <w:bottom w:type="dxa" w:w="80"/>
              <w:right w:type="dxa" w:w="100"/>
            </w:tcMar>
            <w:vAlign w:val="center"/>
          </w:tcPr>
          <w:p>
            <w:pPr>
              <w:jc w:val="left"/>
            </w:pPr>
            <w:r>
              <w:rPr>
                <w:b w:val="false"/>
                <w:bCs w:val="false"/>
                <w:color w:val="000000"/>
              </w:rPr>
              <w:t xml:space="preserve">Python</w:t>
            </w:r>
          </w:p>
        </w:tc>
        <w:tc>
          <w:tcPr>
            <w:tcW w:type="dxa" w:w="1900"/>
            <w:shd w:fill="FFFFFF" w:val="clear"/>
            <w:tcMar>
              <w:top w:type="dxa" w:w="80"/>
              <w:left w:type="dxa" w:w="100"/>
              <w:bottom w:type="dxa" w:w="80"/>
              <w:right w:type="dxa" w:w="100"/>
            </w:tcMar>
            <w:vAlign w:val="center"/>
          </w:tcPr>
          <w:p>
            <w:pPr>
              <w:jc w:val="left"/>
            </w:pPr>
            <w:r>
              <w:rPr>
                <w:b w:val="false"/>
                <w:bCs w:val="false"/>
                <w:color w:val="000000"/>
              </w:rPr>
              <w:t xml:space="preserve">PascalCase</w:t>
            </w:r>
          </w:p>
        </w:tc>
        <w:tc>
          <w:tcPr>
            <w:tcW w:type="dxa" w:w="1900"/>
            <w:shd w:fill="FFFFFF" w:val="clear"/>
            <w:tcMar>
              <w:top w:type="dxa" w:w="80"/>
              <w:left w:type="dxa" w:w="100"/>
              <w:bottom w:type="dxa" w:w="80"/>
              <w:right w:type="dxa" w:w="100"/>
            </w:tcMar>
            <w:vAlign w:val="center"/>
          </w:tcPr>
          <w:p>
            <w:pPr>
              <w:jc w:val="left"/>
            </w:pPr>
            <w:r>
              <w:rPr>
                <w:b w:val="false"/>
                <w:bCs w:val="false"/>
                <w:color w:val="000000"/>
              </w:rPr>
              <w:t xml:space="preserve">snake_case</w:t>
            </w:r>
          </w:p>
        </w:tc>
        <w:tc>
          <w:tcPr>
            <w:tcW w:type="dxa" w:w="1600"/>
            <w:shd w:fill="FFFFFF" w:val="clear"/>
            <w:tcMar>
              <w:top w:type="dxa" w:w="80"/>
              <w:left w:type="dxa" w:w="100"/>
              <w:bottom w:type="dxa" w:w="80"/>
              <w:right w:type="dxa" w:w="100"/>
            </w:tcMar>
            <w:vAlign w:val="center"/>
          </w:tcPr>
          <w:p>
            <w:pPr>
              <w:jc w:val="left"/>
            </w:pPr>
            <w:r>
              <w:rPr>
                <w:b w:val="false"/>
                <w:bCs w:val="false"/>
                <w:color w:val="000000"/>
              </w:rPr>
              <w:t xml:space="preserve">snake_case</w:t>
            </w:r>
          </w:p>
        </w:tc>
        <w:tc>
          <w:tcPr>
            <w:tcW w:type="dxa" w:w="1600"/>
            <w:shd w:fill="FFFFFF" w:val="clear"/>
            <w:tcMar>
              <w:top w:type="dxa" w:w="80"/>
              <w:left w:type="dxa" w:w="100"/>
              <w:bottom w:type="dxa" w:w="80"/>
              <w:right w:type="dxa" w:w="100"/>
            </w:tcMar>
            <w:vAlign w:val="center"/>
          </w:tcPr>
          <w:p>
            <w:pPr>
              <w:jc w:val="left"/>
            </w:pPr>
            <w:r>
              <w:rPr>
                <w:b w:val="false"/>
                <w:bCs w:val="false"/>
                <w:color w:val="000000"/>
              </w:rPr>
              <w:t xml:space="preserve">UPPER_SNAKE_CASE</w:t>
            </w:r>
          </w:p>
        </w:tc>
      </w:tr>
      <w:tr>
        <w:tc>
          <w:tcPr>
            <w:tcW w:type="dxa" w:w="2350"/>
            <w:shd w:fill="F2F2F2" w:val="clear"/>
            <w:tcMar>
              <w:top w:type="dxa" w:w="80"/>
              <w:left w:type="dxa" w:w="100"/>
              <w:bottom w:type="dxa" w:w="80"/>
              <w:right w:type="dxa" w:w="100"/>
            </w:tcMar>
            <w:vAlign w:val="center"/>
          </w:tcPr>
          <w:p>
            <w:pPr>
              <w:jc w:val="left"/>
            </w:pPr>
            <w:r>
              <w:rPr>
                <w:b w:val="false"/>
                <w:bCs w:val="false"/>
                <w:color w:val="000000"/>
              </w:rPr>
              <w:t xml:space="preserve">C# / .NET</w:t>
            </w:r>
          </w:p>
        </w:tc>
        <w:tc>
          <w:tcPr>
            <w:tcW w:type="dxa" w:w="1900"/>
            <w:shd w:fill="F2F2F2" w:val="clear"/>
            <w:tcMar>
              <w:top w:type="dxa" w:w="80"/>
              <w:left w:type="dxa" w:w="100"/>
              <w:bottom w:type="dxa" w:w="80"/>
              <w:right w:type="dxa" w:w="100"/>
            </w:tcMar>
            <w:vAlign w:val="center"/>
          </w:tcPr>
          <w:p>
            <w:pPr>
              <w:jc w:val="left"/>
            </w:pPr>
            <w:r>
              <w:rPr>
                <w:b w:val="false"/>
                <w:bCs w:val="false"/>
                <w:color w:val="000000"/>
              </w:rPr>
              <w:t xml:space="preserve">PascalCase</w:t>
            </w:r>
          </w:p>
        </w:tc>
        <w:tc>
          <w:tcPr>
            <w:tcW w:type="dxa" w:w="1900"/>
            <w:shd w:fill="F2F2F2" w:val="clear"/>
            <w:tcMar>
              <w:top w:type="dxa" w:w="80"/>
              <w:left w:type="dxa" w:w="100"/>
              <w:bottom w:type="dxa" w:w="80"/>
              <w:right w:type="dxa" w:w="100"/>
            </w:tcMar>
            <w:vAlign w:val="center"/>
          </w:tcPr>
          <w:p>
            <w:pPr>
              <w:jc w:val="left"/>
            </w:pPr>
            <w:r>
              <w:rPr>
                <w:b w:val="false"/>
                <w:bCs w:val="false"/>
                <w:color w:val="000000"/>
              </w:rPr>
              <w:t xml:space="preserve">PascalCase</w:t>
            </w:r>
          </w:p>
        </w:tc>
        <w:tc>
          <w:tcPr>
            <w:tcW w:type="dxa" w:w="1600"/>
            <w:shd w:fill="F2F2F2" w:val="clear"/>
            <w:tcMar>
              <w:top w:type="dxa" w:w="80"/>
              <w:left w:type="dxa" w:w="100"/>
              <w:bottom w:type="dxa" w:w="80"/>
              <w:right w:type="dxa" w:w="100"/>
            </w:tcMar>
            <w:vAlign w:val="center"/>
          </w:tcPr>
          <w:p>
            <w:pPr>
              <w:jc w:val="left"/>
            </w:pPr>
            <w:r>
              <w:rPr>
                <w:b w:val="false"/>
                <w:bCs w:val="false"/>
                <w:color w:val="000000"/>
              </w:rPr>
              <w:t xml:space="preserve">camelCase</w:t>
            </w:r>
          </w:p>
        </w:tc>
        <w:tc>
          <w:tcPr>
            <w:tcW w:type="dxa" w:w="1600"/>
            <w:shd w:fill="F2F2F2" w:val="clear"/>
            <w:tcMar>
              <w:top w:type="dxa" w:w="80"/>
              <w:left w:type="dxa" w:w="100"/>
              <w:bottom w:type="dxa" w:w="80"/>
              <w:right w:type="dxa" w:w="100"/>
            </w:tcMar>
            <w:vAlign w:val="center"/>
          </w:tcPr>
          <w:p>
            <w:pPr>
              <w:jc w:val="left"/>
            </w:pPr>
            <w:r>
              <w:rPr>
                <w:b w:val="false"/>
                <w:bCs w:val="false"/>
                <w:color w:val="000000"/>
              </w:rPr>
              <w:t xml:space="preserve">PascalCase</w:t>
            </w:r>
          </w:p>
        </w:tc>
      </w:tr>
      <w:tr>
        <w:tc>
          <w:tcPr>
            <w:tcW w:type="dxa" w:w="2350"/>
            <w:shd w:fill="FFFFFF" w:val="clear"/>
            <w:tcMar>
              <w:top w:type="dxa" w:w="80"/>
              <w:left w:type="dxa" w:w="100"/>
              <w:bottom w:type="dxa" w:w="80"/>
              <w:right w:type="dxa" w:w="100"/>
            </w:tcMar>
            <w:vAlign w:val="center"/>
          </w:tcPr>
          <w:p>
            <w:pPr>
              <w:jc w:val="left"/>
            </w:pPr>
            <w:r>
              <w:rPr>
                <w:b w:val="false"/>
                <w:bCs w:val="false"/>
                <w:color w:val="000000"/>
              </w:rPr>
              <w:t xml:space="preserve">Go</w:t>
            </w:r>
          </w:p>
        </w:tc>
        <w:tc>
          <w:tcPr>
            <w:tcW w:type="dxa" w:w="1900"/>
            <w:shd w:fill="FFFFFF" w:val="clear"/>
            <w:tcMar>
              <w:top w:type="dxa" w:w="80"/>
              <w:left w:type="dxa" w:w="100"/>
              <w:bottom w:type="dxa" w:w="80"/>
              <w:right w:type="dxa" w:w="100"/>
            </w:tcMar>
            <w:vAlign w:val="center"/>
          </w:tcPr>
          <w:p>
            <w:pPr>
              <w:jc w:val="left"/>
            </w:pPr>
            <w:r>
              <w:rPr>
                <w:b w:val="false"/>
                <w:bCs w:val="false"/>
                <w:color w:val="000000"/>
              </w:rPr>
              <w:t xml:space="preserve">PascalCase (exportado)</w:t>
            </w:r>
          </w:p>
        </w:tc>
        <w:tc>
          <w:tcPr>
            <w:tcW w:type="dxa" w:w="1900"/>
            <w:shd w:fill="FFFFFF" w:val="clear"/>
            <w:tcMar>
              <w:top w:type="dxa" w:w="80"/>
              <w:left w:type="dxa" w:w="100"/>
              <w:bottom w:type="dxa" w:w="80"/>
              <w:right w:type="dxa" w:w="100"/>
            </w:tcMar>
            <w:vAlign w:val="center"/>
          </w:tcPr>
          <w:p>
            <w:pPr>
              <w:jc w:val="left"/>
            </w:pPr>
            <w:r>
              <w:rPr>
                <w:b w:val="false"/>
                <w:bCs w:val="false"/>
                <w:color w:val="000000"/>
              </w:rPr>
              <w:t xml:space="preserve">camelCase / PascalCase</w:t>
            </w:r>
          </w:p>
        </w:tc>
        <w:tc>
          <w:tcPr>
            <w:tcW w:type="dxa" w:w="1600"/>
            <w:shd w:fill="FFFFFF" w:val="clear"/>
            <w:tcMar>
              <w:top w:type="dxa" w:w="80"/>
              <w:left w:type="dxa" w:w="100"/>
              <w:bottom w:type="dxa" w:w="80"/>
              <w:right w:type="dxa" w:w="100"/>
            </w:tcMar>
            <w:vAlign w:val="center"/>
          </w:tcPr>
          <w:p>
            <w:pPr>
              <w:jc w:val="left"/>
            </w:pPr>
            <w:r>
              <w:rPr>
                <w:b w:val="false"/>
                <w:bCs w:val="false"/>
                <w:color w:val="000000"/>
              </w:rPr>
              <w:t xml:space="preserve">camelCase</w:t>
            </w:r>
          </w:p>
        </w:tc>
        <w:tc>
          <w:tcPr>
            <w:tcW w:type="dxa" w:w="1600"/>
            <w:shd w:fill="FFFFFF" w:val="clear"/>
            <w:tcMar>
              <w:top w:type="dxa" w:w="80"/>
              <w:left w:type="dxa" w:w="100"/>
              <w:bottom w:type="dxa" w:w="80"/>
              <w:right w:type="dxa" w:w="100"/>
            </w:tcMar>
            <w:vAlign w:val="center"/>
          </w:tcPr>
          <w:p>
            <w:pPr>
              <w:jc w:val="left"/>
            </w:pPr>
            <w:r>
              <w:rPr>
                <w:b w:val="false"/>
                <w:bCs w:val="false"/>
                <w:color w:val="000000"/>
              </w:rPr>
              <w:t xml:space="preserve">PascalCase</w:t>
            </w:r>
          </w:p>
        </w:tc>
      </w:tr>
    </w:tbl>
    <w:p>
      <w:pPr>
        <w:spacing w:after="200" w:line="276"/>
      </w:pPr>
      <w:r>
        <w:t xml:space="preserve">La estructura de carpetas de cada proyecto sigue el patrón de referencia correspondiente a su stack, documentado en el anexo 7.1.</w:t>
      </w:r>
    </w:p>
    <w:p>
      <w:pPr>
        <w:pStyle w:val="Heading2"/>
        <w:spacing w:after="180" w:before="360"/>
      </w:pPr>
      <w:r>
        <w:rPr>
          <w:b/>
          <w:bCs/>
        </w:rPr>
        <w:t xml:space="preserve">4.2. Manejo de Excepciones y Errores</w:t>
      </w:r>
    </w:p>
    <w:p>
      <w:pPr>
        <w:spacing w:after="200" w:line="276"/>
      </w:pPr>
      <w:r>
        <w:t xml:space="preserve">El manejo de errores sigue un principio central: fallar de forma explícita y temprana, evitando el silenciamiento de excepciones.</w:t>
      </w:r>
    </w:p>
    <w:p>
      <w:pPr>
        <w:pStyle w:val="ListParagraph"/>
        <w:numPr>
          <w:ilvl w:val="0"/>
          <w:numId w:val="2"/>
        </w:numPr>
        <w:spacing w:after="120"/>
      </w:pPr>
      <w:r>
        <w:t xml:space="preserve">Las excepciones capturadas deben tratarse o propagarse explícitamente; queda prohibido un bloque catch vacío o que solo registre un log sin acción posterior.</w:t>
      </w:r>
    </w:p>
    <w:p>
      <w:pPr>
        <w:pStyle w:val="ListParagraph"/>
        <w:numPr>
          <w:ilvl w:val="0"/>
          <w:numId w:val="2"/>
        </w:numPr>
        <w:spacing w:after="120"/>
      </w:pPr>
      <w:r>
        <w:t xml:space="preserve">Se distingue entre errores esperados del dominio de negocio (modelados como tipos de retorno o excepciones de negocio) y errores inesperados de infraestructura (excepciones técnicas).</w:t>
      </w:r>
    </w:p>
    <w:p>
      <w:pPr>
        <w:pStyle w:val="ListParagraph"/>
        <w:numPr>
          <w:ilvl w:val="0"/>
          <w:numId w:val="2"/>
        </w:numPr>
        <w:spacing w:after="120"/>
      </w:pPr>
      <w:r>
        <w:t xml:space="preserve">Las respuestas de error de las APIs siguen un formato estándar consistente, incluyendo código de error interno, mensaje legible y un identificador de correlación (trace ID).</w:t>
      </w:r>
    </w:p>
    <w:p>
      <w:pPr>
        <w:pStyle w:val="ListParagraph"/>
        <w:numPr>
          <w:ilvl w:val="0"/>
          <w:numId w:val="2"/>
        </w:numPr>
        <w:spacing w:after="120"/>
      </w:pPr>
      <w:r>
        <w:t xml:space="preserve">Ningún mensaje de error expuesto al cliente final debe incluir detalles de implementación interna (stack traces, nombres de tablas, rutas de archivo).</w:t>
      </w:r>
    </w:p>
    <w:p>
      <w:pPr>
        <w:pStyle w:val="Heading2"/>
        <w:spacing w:after="180" w:before="360"/>
      </w:pPr>
      <w:r>
        <w:rPr>
          <w:b/>
          <w:bCs/>
        </w:rPr>
        <w:t xml:space="preserve">4.3. Estándar de Logging (Logs Estructurados en JSON)</w:t>
      </w:r>
    </w:p>
    <w:p>
      <w:pPr>
        <w:spacing w:after="200" w:line="276"/>
      </w:pPr>
      <w:r>
        <w:t xml:space="preserve">Todo servicio emite logs en formato JSON estructurado a la salida estándar (stdout), conforme al principio XI de Twelve-Factor App (sección 5.3), permitiendo su recolección y correlación centralizada.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0"/>
            </w:pPr>
            <w:r>
              <w:rPr>
                <w:rFonts w:ascii="Consolas" w:cs="Consolas" w:eastAsia="Consolas" w:hAnsi="Consolas"/>
                <w:color w:val="D4D4D4"/>
                <w:sz w:val="18"/>
                <w:szCs w:val="18"/>
              </w:rPr>
              <w:t xml:space="preserve">{</w:t>
            </w:r>
          </w:p>
          <w:p>
            <w:pPr>
              <w:spacing w:after="0"/>
            </w:pPr>
            <w:r>
              <w:rPr>
                <w:rFonts w:ascii="Consolas" w:cs="Consolas" w:eastAsia="Consolas" w:hAnsi="Consolas"/>
                <w:color w:val="D4D4D4"/>
                <w:sz w:val="18"/>
                <w:szCs w:val="18"/>
              </w:rPr>
              <w:t xml:space="preserve">  "timestamp": "2026-07-30T14:22:05.331Z",</w:t>
            </w:r>
          </w:p>
          <w:p>
            <w:pPr>
              <w:spacing w:after="0"/>
            </w:pPr>
            <w:r>
              <w:rPr>
                <w:rFonts w:ascii="Consolas" w:cs="Consolas" w:eastAsia="Consolas" w:hAnsi="Consolas"/>
                <w:color w:val="D4D4D4"/>
                <w:sz w:val="18"/>
                <w:szCs w:val="18"/>
              </w:rPr>
              <w:t xml:space="preserve">  "level": "ERROR",</w:t>
            </w:r>
          </w:p>
          <w:p>
            <w:pPr>
              <w:spacing w:after="0"/>
            </w:pPr>
            <w:r>
              <w:rPr>
                <w:rFonts w:ascii="Consolas" w:cs="Consolas" w:eastAsia="Consolas" w:hAnsi="Consolas"/>
                <w:color w:val="D4D4D4"/>
                <w:sz w:val="18"/>
                <w:szCs w:val="18"/>
              </w:rPr>
              <w:t xml:space="preserve">  "service": "pagos-api",</w:t>
            </w:r>
          </w:p>
          <w:p>
            <w:pPr>
              <w:spacing w:after="0"/>
            </w:pPr>
            <w:r>
              <w:rPr>
                <w:rFonts w:ascii="Consolas" w:cs="Consolas" w:eastAsia="Consolas" w:hAnsi="Consolas"/>
                <w:color w:val="D4D4D4"/>
                <w:sz w:val="18"/>
                <w:szCs w:val="18"/>
              </w:rPr>
              <w:t xml:space="preserve">  "trace_id": "8f3a1c2e-9b7d-4e51-a6f2-1d4c7b90e123",</w:t>
            </w:r>
          </w:p>
          <w:p>
            <w:pPr>
              <w:spacing w:after="0"/>
            </w:pPr>
            <w:r>
              <w:rPr>
                <w:rFonts w:ascii="Consolas" w:cs="Consolas" w:eastAsia="Consolas" w:hAnsi="Consolas"/>
                <w:color w:val="D4D4D4"/>
                <w:sz w:val="18"/>
                <w:szCs w:val="18"/>
              </w:rPr>
              <w:t xml:space="preserve">  "message": "Fallo al procesar pago: timeout de pasarela externa",</w:t>
            </w:r>
          </w:p>
          <w:p>
            <w:pPr>
              <w:spacing w:after="0"/>
            </w:pPr>
            <w:r>
              <w:rPr>
                <w:rFonts w:ascii="Consolas" w:cs="Consolas" w:eastAsia="Consolas" w:hAnsi="Consolas"/>
                <w:color w:val="D4D4D4"/>
                <w:sz w:val="18"/>
                <w:szCs w:val="18"/>
              </w:rPr>
              <w:t xml:space="preserve">  "context": {</w:t>
            </w:r>
          </w:p>
          <w:p>
            <w:pPr>
              <w:spacing w:after="0"/>
            </w:pPr>
            <w:r>
              <w:rPr>
                <w:rFonts w:ascii="Consolas" w:cs="Consolas" w:eastAsia="Consolas" w:hAnsi="Consolas"/>
                <w:color w:val="D4D4D4"/>
                <w:sz w:val="18"/>
                <w:szCs w:val="18"/>
              </w:rPr>
              <w:t xml:space="preserve">    "order_id": "ORD-88213",</w:t>
            </w:r>
          </w:p>
          <w:p>
            <w:pPr>
              <w:spacing w:after="0"/>
            </w:pPr>
            <w:r>
              <w:rPr>
                <w:rFonts w:ascii="Consolas" w:cs="Consolas" w:eastAsia="Consolas" w:hAnsi="Consolas"/>
                <w:color w:val="D4D4D4"/>
                <w:sz w:val="18"/>
                <w:szCs w:val="18"/>
              </w:rPr>
              <w:t xml:space="preserve">    "gateway": "pasarela-pagos",</w:t>
            </w:r>
          </w:p>
          <w:p>
            <w:pPr>
              <w:spacing w:after="0"/>
            </w:pPr>
            <w:r>
              <w:rPr>
                <w:rFonts w:ascii="Consolas" w:cs="Consolas" w:eastAsia="Consolas" w:hAnsi="Consolas"/>
                <w:color w:val="D4D4D4"/>
                <w:sz w:val="18"/>
                <w:szCs w:val="18"/>
              </w:rPr>
              <w:t xml:space="preserve">    "retry_count": 2</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w:t>
            </w:r>
          </w:p>
        </w:tc>
      </w:tr>
    </w:tbl>
    <w:p>
      <w:pPr>
        <w:spacing w:after="200"/>
      </w:pPr>
    </w:p>
    <w:p>
      <w:pPr>
        <w:pStyle w:val="ListParagraph"/>
        <w:numPr>
          <w:ilvl w:val="0"/>
          <w:numId w:val="2"/>
        </w:numPr>
        <w:spacing w:after="120"/>
      </w:pPr>
      <w:r>
        <w:t xml:space="preserve">Los campos timestamp, level, service, trace_id y message son obligatorios en todo evento de log.</w:t>
      </w:r>
    </w:p>
    <w:p>
      <w:pPr>
        <w:pStyle w:val="ListParagraph"/>
        <w:numPr>
          <w:ilvl w:val="0"/>
          <w:numId w:val="2"/>
        </w:numPr>
        <w:spacing w:after="120"/>
      </w:pPr>
      <w:r>
        <w:t xml:space="preserve">Queda prohibido registrar datos clasificados como Confidencial o Restringido (ver SEC-001) en texto plano dentro de los logs.</w:t>
      </w:r>
    </w:p>
    <w:p>
      <w:pPr>
        <w:pStyle w:val="ListParagraph"/>
        <w:numPr>
          <w:ilvl w:val="0"/>
          <w:numId w:val="2"/>
        </w:numPr>
        <w:spacing w:after="120"/>
      </w:pPr>
      <w:r>
        <w:t xml:space="preserve">Los niveles de log siguen la escala estándar: DEBUG, INFO, WARN, ERROR, FATAL, con ERROR y FATAL generando alertamiento automático.</w:t>
      </w:r>
    </w:p>
    <w:p>
      <w:pPr>
        <w:pStyle w:val="Heading1"/>
        <w:pageBreakBefore/>
        <w:spacing w:after="240" w:before="480"/>
      </w:pPr>
      <w:r>
        <w:rPr>
          <w:b/>
          <w:bCs/>
        </w:rPr>
        <w:t xml:space="preserve">5. Prácticas de Ingeniería</w:t>
      </w:r>
    </w:p>
    <w:p>
      <w:pPr>
        <w:spacing w:after="200" w:line="276"/>
      </w:pPr>
      <w:r>
        <w:t xml:space="preserve">Este capítulo describe las prácticas de ingeniería que sostienen la calidad del software a lo largo del tiempo, más allá de la corrección funcional inmediata.</w:t>
      </w:r>
    </w:p>
    <w:p>
      <w:pPr>
        <w:pStyle w:val="Heading2"/>
        <w:spacing w:after="180" w:before="360"/>
      </w:pPr>
      <w:r>
        <w:rPr>
          <w:b/>
          <w:bCs/>
        </w:rPr>
        <w:t xml:space="preserve">5.1. Desarrollo Guiado por Pruebas (TDD) y Cobertura Mínima</w:t>
      </w:r>
    </w:p>
    <w:p>
      <w:pPr>
        <w:spacing w:after="200" w:line="276"/>
      </w:pPr>
      <w:r>
        <w:t xml:space="preserve">Se promueve Test-Driven Development como práctica preferida para el desarrollo de lógica de negocio, escribiendo la prueba antes que la implementación. Independientemente de la metodología utilizada, se exigen los siguientes umbrales mínimos de cobertura, verificados automáticamente en el pipeline (ver GOB-001, sección 6.1):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3250"/>
      </w:tblGrid>
      <w:tr>
        <w:trPr>
          <w:tblHeader/>
        </w:trPr>
        <w:tc>
          <w:tcPr>
            <w:tcW w:type="dxa" w:w="3200"/>
            <w:shd w:fill="1F3864" w:val="clear"/>
            <w:tcMar>
              <w:top w:type="dxa" w:w="80"/>
              <w:left w:type="dxa" w:w="100"/>
              <w:bottom w:type="dxa" w:w="80"/>
              <w:right w:type="dxa" w:w="100"/>
            </w:tcMar>
            <w:vAlign w:val="center"/>
          </w:tcPr>
          <w:p>
            <w:pPr>
              <w:jc w:val="left"/>
            </w:pPr>
            <w:r>
              <w:rPr>
                <w:b/>
                <w:bCs/>
                <w:color w:val="FFFFFF"/>
              </w:rPr>
              <w:t xml:space="preserve">Tipo de Componente</w:t>
            </w:r>
          </w:p>
        </w:tc>
        <w:tc>
          <w:tcPr>
            <w:tcW w:type="dxa" w:w="2900"/>
            <w:shd w:fill="1F3864" w:val="clear"/>
            <w:tcMar>
              <w:top w:type="dxa" w:w="80"/>
              <w:left w:type="dxa" w:w="100"/>
              <w:bottom w:type="dxa" w:w="80"/>
              <w:right w:type="dxa" w:w="100"/>
            </w:tcMar>
            <w:vAlign w:val="center"/>
          </w:tcPr>
          <w:p>
            <w:pPr>
              <w:jc w:val="left"/>
            </w:pPr>
            <w:r>
              <w:rPr>
                <w:b/>
                <w:bCs/>
                <w:color w:val="FFFFFF"/>
              </w:rPr>
              <w:t xml:space="preserve">Cobertura Mínima</w:t>
            </w:r>
          </w:p>
        </w:tc>
        <w:tc>
          <w:tcPr>
            <w:tcW w:type="dxa" w:w="3250"/>
            <w:shd w:fill="1F3864" w:val="clear"/>
            <w:tcMar>
              <w:top w:type="dxa" w:w="80"/>
              <w:left w:type="dxa" w:w="100"/>
              <w:bottom w:type="dxa" w:w="80"/>
              <w:right w:type="dxa" w:w="100"/>
            </w:tcMar>
            <w:vAlign w:val="center"/>
          </w:tcPr>
          <w:p>
            <w:pPr>
              <w:jc w:val="left"/>
            </w:pPr>
            <w:r>
              <w:rPr>
                <w:b/>
                <w:bCs/>
                <w:color w:val="FFFFFF"/>
              </w:rPr>
              <w:t xml:space="preserve">Tipo de Prueba Predominante</w:t>
            </w:r>
          </w:p>
        </w:tc>
      </w:tr>
      <w:tr>
        <w:tc>
          <w:tcPr>
            <w:tcW w:type="dxa" w:w="3200"/>
            <w:shd w:fill="FFFFFF" w:val="clear"/>
            <w:tcMar>
              <w:top w:type="dxa" w:w="80"/>
              <w:left w:type="dxa" w:w="100"/>
              <w:bottom w:type="dxa" w:w="80"/>
              <w:right w:type="dxa" w:w="100"/>
            </w:tcMar>
            <w:vAlign w:val="center"/>
          </w:tcPr>
          <w:p>
            <w:pPr>
              <w:jc w:val="left"/>
            </w:pPr>
            <w:r>
              <w:rPr>
                <w:b w:val="false"/>
                <w:bCs w:val="false"/>
                <w:color w:val="000000"/>
              </w:rPr>
              <w:t xml:space="preserve">Lógica de dominio / reglas de negocio</w:t>
            </w:r>
          </w:p>
        </w:tc>
        <w:tc>
          <w:tcPr>
            <w:tcW w:type="dxa" w:w="2900"/>
            <w:shd w:fill="FFFFFF" w:val="clear"/>
            <w:tcMar>
              <w:top w:type="dxa" w:w="80"/>
              <w:left w:type="dxa" w:w="100"/>
              <w:bottom w:type="dxa" w:w="80"/>
              <w:right w:type="dxa" w:w="100"/>
            </w:tcMar>
            <w:vAlign w:val="center"/>
          </w:tcPr>
          <w:p>
            <w:pPr>
              <w:jc w:val="left"/>
            </w:pPr>
            <w:r>
              <w:rPr>
                <w:b w:val="false"/>
                <w:bCs w:val="false"/>
                <w:color w:val="000000"/>
              </w:rPr>
              <w:t xml:space="preserve">90 %</w:t>
            </w:r>
          </w:p>
        </w:tc>
        <w:tc>
          <w:tcPr>
            <w:tcW w:type="dxa" w:w="3250"/>
            <w:shd w:fill="FFFFFF" w:val="clear"/>
            <w:tcMar>
              <w:top w:type="dxa" w:w="80"/>
              <w:left w:type="dxa" w:w="100"/>
              <w:bottom w:type="dxa" w:w="80"/>
              <w:right w:type="dxa" w:w="100"/>
            </w:tcMar>
            <w:vAlign w:val="center"/>
          </w:tcPr>
          <w:p>
            <w:pPr>
              <w:jc w:val="left"/>
            </w:pPr>
            <w:r>
              <w:rPr>
                <w:b w:val="false"/>
                <w:bCs w:val="false"/>
                <w:color w:val="000000"/>
              </w:rPr>
              <w:t xml:space="preserve">Pruebas unitarias</w:t>
            </w:r>
          </w:p>
        </w:tc>
      </w:tr>
      <w:tr>
        <w:tc>
          <w:tcPr>
            <w:tcW w:type="dxa" w:w="3200"/>
            <w:shd w:fill="F2F2F2" w:val="clear"/>
            <w:tcMar>
              <w:top w:type="dxa" w:w="80"/>
              <w:left w:type="dxa" w:w="100"/>
              <w:bottom w:type="dxa" w:w="80"/>
              <w:right w:type="dxa" w:w="100"/>
            </w:tcMar>
            <w:vAlign w:val="center"/>
          </w:tcPr>
          <w:p>
            <w:pPr>
              <w:jc w:val="left"/>
            </w:pPr>
            <w:r>
              <w:rPr>
                <w:b w:val="false"/>
                <w:bCs w:val="false"/>
                <w:color w:val="000000"/>
              </w:rPr>
              <w:t xml:space="preserve">Servicios de aplicación / orquestación</w:t>
            </w:r>
          </w:p>
        </w:tc>
        <w:tc>
          <w:tcPr>
            <w:tcW w:type="dxa" w:w="2900"/>
            <w:shd w:fill="F2F2F2" w:val="clear"/>
            <w:tcMar>
              <w:top w:type="dxa" w:w="80"/>
              <w:left w:type="dxa" w:w="100"/>
              <w:bottom w:type="dxa" w:w="80"/>
              <w:right w:type="dxa" w:w="100"/>
            </w:tcMar>
            <w:vAlign w:val="center"/>
          </w:tcPr>
          <w:p>
            <w:pPr>
              <w:jc w:val="left"/>
            </w:pPr>
            <w:r>
              <w:rPr>
                <w:b w:val="false"/>
                <w:bCs w:val="false"/>
                <w:color w:val="000000"/>
              </w:rPr>
              <w:t xml:space="preserve">80 %</w:t>
            </w:r>
          </w:p>
        </w:tc>
        <w:tc>
          <w:tcPr>
            <w:tcW w:type="dxa" w:w="3250"/>
            <w:shd w:fill="F2F2F2" w:val="clear"/>
            <w:tcMar>
              <w:top w:type="dxa" w:w="80"/>
              <w:left w:type="dxa" w:w="100"/>
              <w:bottom w:type="dxa" w:w="80"/>
              <w:right w:type="dxa" w:w="100"/>
            </w:tcMar>
            <w:vAlign w:val="center"/>
          </w:tcPr>
          <w:p>
            <w:pPr>
              <w:jc w:val="left"/>
            </w:pPr>
            <w:r>
              <w:rPr>
                <w:b w:val="false"/>
                <w:bCs w:val="false"/>
                <w:color w:val="000000"/>
              </w:rPr>
              <w:t xml:space="preserve">Pruebas unitarias + integración</w:t>
            </w:r>
          </w:p>
        </w:tc>
      </w:tr>
      <w:tr>
        <w:tc>
          <w:tcPr>
            <w:tcW w:type="dxa" w:w="3200"/>
            <w:shd w:fill="FFFFFF" w:val="clear"/>
            <w:tcMar>
              <w:top w:type="dxa" w:w="80"/>
              <w:left w:type="dxa" w:w="100"/>
              <w:bottom w:type="dxa" w:w="80"/>
              <w:right w:type="dxa" w:w="100"/>
            </w:tcMar>
            <w:vAlign w:val="center"/>
          </w:tcPr>
          <w:p>
            <w:pPr>
              <w:jc w:val="left"/>
            </w:pPr>
            <w:r>
              <w:rPr>
                <w:b w:val="false"/>
                <w:bCs w:val="false"/>
                <w:color w:val="000000"/>
              </w:rPr>
              <w:t xml:space="preserve">Controladores / adaptadores de entrada</w:t>
            </w:r>
          </w:p>
        </w:tc>
        <w:tc>
          <w:tcPr>
            <w:tcW w:type="dxa" w:w="2900"/>
            <w:shd w:fill="FFFFFF" w:val="clear"/>
            <w:tcMar>
              <w:top w:type="dxa" w:w="80"/>
              <w:left w:type="dxa" w:w="100"/>
              <w:bottom w:type="dxa" w:w="80"/>
              <w:right w:type="dxa" w:w="100"/>
            </w:tcMar>
            <w:vAlign w:val="center"/>
          </w:tcPr>
          <w:p>
            <w:pPr>
              <w:jc w:val="left"/>
            </w:pPr>
            <w:r>
              <w:rPr>
                <w:b w:val="false"/>
                <w:bCs w:val="false"/>
                <w:color w:val="000000"/>
              </w:rPr>
              <w:t xml:space="preserve">70 %</w:t>
            </w:r>
          </w:p>
        </w:tc>
        <w:tc>
          <w:tcPr>
            <w:tcW w:type="dxa" w:w="3250"/>
            <w:shd w:fill="FFFFFF" w:val="clear"/>
            <w:tcMar>
              <w:top w:type="dxa" w:w="80"/>
              <w:left w:type="dxa" w:w="100"/>
              <w:bottom w:type="dxa" w:w="80"/>
              <w:right w:type="dxa" w:w="100"/>
            </w:tcMar>
            <w:vAlign w:val="center"/>
          </w:tcPr>
          <w:p>
            <w:pPr>
              <w:jc w:val="left"/>
            </w:pPr>
            <w:r>
              <w:rPr>
                <w:b w:val="false"/>
                <w:bCs w:val="false"/>
                <w:color w:val="000000"/>
              </w:rPr>
              <w:t xml:space="preserve">Pruebas de integración</w:t>
            </w:r>
          </w:p>
        </w:tc>
      </w:tr>
      <w:tr>
        <w:tc>
          <w:tcPr>
            <w:tcW w:type="dxa" w:w="3200"/>
            <w:shd w:fill="F2F2F2" w:val="clear"/>
            <w:tcMar>
              <w:top w:type="dxa" w:w="80"/>
              <w:left w:type="dxa" w:w="100"/>
              <w:bottom w:type="dxa" w:w="80"/>
              <w:right w:type="dxa" w:w="100"/>
            </w:tcMar>
            <w:vAlign w:val="center"/>
          </w:tcPr>
          <w:p>
            <w:pPr>
              <w:jc w:val="left"/>
            </w:pPr>
            <w:r>
              <w:rPr>
                <w:b w:val="false"/>
                <w:bCs w:val="false"/>
                <w:color w:val="000000"/>
              </w:rPr>
              <w:t xml:space="preserve">Código de infraestructura (IaC, scripts)</w:t>
            </w:r>
          </w:p>
        </w:tc>
        <w:tc>
          <w:tcPr>
            <w:tcW w:type="dxa" w:w="2900"/>
            <w:shd w:fill="F2F2F2" w:val="clear"/>
            <w:tcMar>
              <w:top w:type="dxa" w:w="80"/>
              <w:left w:type="dxa" w:w="100"/>
              <w:bottom w:type="dxa" w:w="80"/>
              <w:right w:type="dxa" w:w="100"/>
            </w:tcMar>
            <w:vAlign w:val="center"/>
          </w:tcPr>
          <w:p>
            <w:pPr>
              <w:jc w:val="left"/>
            </w:pPr>
            <w:r>
              <w:rPr>
                <w:b w:val="false"/>
                <w:bCs w:val="false"/>
                <w:color w:val="000000"/>
              </w:rPr>
              <w:t xml:space="preserve">No aplica cobertura; validación mediante linting y plan de ejecución</w:t>
            </w:r>
          </w:p>
        </w:tc>
        <w:tc>
          <w:tcPr>
            <w:tcW w:type="dxa" w:w="3250"/>
            <w:shd w:fill="F2F2F2" w:val="clear"/>
            <w:tcMar>
              <w:top w:type="dxa" w:w="80"/>
              <w:left w:type="dxa" w:w="100"/>
              <w:bottom w:type="dxa" w:w="80"/>
              <w:right w:type="dxa" w:w="100"/>
            </w:tcMar>
            <w:vAlign w:val="center"/>
          </w:tcPr>
          <w:p>
            <w:pPr>
              <w:jc w:val="left"/>
            </w:pPr>
            <w:r>
              <w:rPr>
                <w:b w:val="false"/>
                <w:bCs w:val="false"/>
                <w:color w:val="000000"/>
              </w:rPr>
              <w:t xml:space="preserve">Pruebas estáticas</w:t>
            </w:r>
          </w:p>
        </w:tc>
      </w:tr>
    </w:tbl>
    <w:p>
      <w:pPr>
        <w:spacing w:after="200" w:line="276"/>
      </w:pPr>
      <w:r>
        <w:t xml:space="preserve">La cobertura es una condición necesaria pero no suficiente: una prueba que no verifica un comportamiento significativo del negocio no cuenta como cumplimiento genuino del estándar, incluso si incrementa el porcentaje de cobertura.</w:t>
      </w:r>
    </w:p>
    <w:p>
      <w:pPr>
        <w:pStyle w:val="Heading2"/>
        <w:spacing w:after="180" w:before="360"/>
      </w:pPr>
      <w:r>
        <w:rPr>
          <w:b/>
          <w:bCs/>
        </w:rPr>
        <w:t xml:space="preserve">5.2. Refactorización Continua y Gestión de Deuda Técnica</w:t>
      </w:r>
    </w:p>
    <w:p>
      <w:pPr>
        <w:spacing w:after="200" w:line="276"/>
      </w:pPr>
      <w:r>
        <w:t xml:space="preserve">La deuda técnica se gestiona de forma activa y visible, no se ignora ni se acumula de forma indefinida.</w:t>
      </w:r>
    </w:p>
    <w:p>
      <w:pPr>
        <w:pStyle w:val="ListParagraph"/>
        <w:numPr>
          <w:ilvl w:val="0"/>
          <w:numId w:val="2"/>
        </w:numPr>
        <w:spacing w:after="120"/>
      </w:pPr>
      <w:r>
        <w:t xml:space="preserve">Todo ítem de deuda técnica identificado se registra explícitamente en el backlog del equipo, con una estimación de impacto y esfuerzo de resolución.</w:t>
      </w:r>
    </w:p>
    <w:p>
      <w:pPr>
        <w:pStyle w:val="ListParagraph"/>
        <w:numPr>
          <w:ilvl w:val="0"/>
          <w:numId w:val="2"/>
        </w:numPr>
        <w:spacing w:after="120"/>
      </w:pPr>
      <w:r>
        <w:t xml:space="preserve">Cada squad reserva un porcentaje mínimo del 15 % de su capacidad por sprint para refactorización y resolución de deuda técnica.</w:t>
      </w:r>
    </w:p>
    <w:p>
      <w:pPr>
        <w:pStyle w:val="ListParagraph"/>
        <w:numPr>
          <w:ilvl w:val="0"/>
          <w:numId w:val="2"/>
        </w:numPr>
        <w:spacing w:after="120"/>
      </w:pPr>
      <w:r>
        <w:t xml:space="preserve">La regla del "boy scout": todo Merge Request debe dejar el código que toca en mejor estado del que lo encontró, sin que esto implique refactorizaciones no relacionadas y de gran alcance dentro del mismo cambio.</w:t>
      </w:r>
    </w:p>
    <w:p>
      <w:pPr>
        <w:pStyle w:val="ListParagraph"/>
        <w:numPr>
          <w:ilvl w:val="0"/>
          <w:numId w:val="2"/>
        </w:numPr>
        <w:spacing w:after="120"/>
      </w:pPr>
      <w:r>
        <w:t xml:space="preserve">La deuda técnica crítica (que compromete seguridad, estabilidad o velocidad de entrega) se escala al Comité de Gobierno DevSecOps conforme a GOB-001.</w:t>
      </w:r>
    </w:p>
    <w:p>
      <w:pPr>
        <w:pStyle w:val="Heading2"/>
        <w:spacing w:after="180" w:before="360"/>
      </w:pPr>
      <w:r>
        <w:rPr>
          <w:b/>
          <w:bCs/>
        </w:rPr>
        <w:t xml:space="preserve">5.3. Manejo de Configuraciones Externa (Twelve-Factor App)</w:t>
      </w:r>
    </w:p>
    <w:p>
      <w:pPr>
        <w:spacing w:after="200" w:line="276"/>
      </w:pPr>
      <w:r>
        <w:t xml:space="preserve">La organización adopta la metodología Twelve-Factor App como estándar de referencia para el diseño de servicios nativos de nube. Los factores de mayor relevancia práctica se resumen a continuación; el resto se adopta íntegramente según la especificación original.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80"/>
              <w:left w:type="dxa" w:w="100"/>
              <w:bottom w:type="dxa" w:w="80"/>
              <w:right w:type="dxa" w:w="100"/>
            </w:tcMar>
            <w:vAlign w:val="center"/>
          </w:tcPr>
          <w:p>
            <w:pPr>
              <w:jc w:val="left"/>
            </w:pPr>
            <w:r>
              <w:rPr>
                <w:b/>
                <w:bCs/>
                <w:color w:val="FFFFFF"/>
              </w:rPr>
              <w:t xml:space="preserve">Factor</w:t>
            </w:r>
          </w:p>
        </w:tc>
        <w:tc>
          <w:tcPr>
            <w:tcW w:type="dxa" w:w="7150"/>
            <w:shd w:fill="1F3864" w:val="clear"/>
            <w:tcMar>
              <w:top w:type="dxa" w:w="80"/>
              <w:left w:type="dxa" w:w="100"/>
              <w:bottom w:type="dxa" w:w="80"/>
              <w:right w:type="dxa" w:w="100"/>
            </w:tcMar>
            <w:vAlign w:val="center"/>
          </w:tcPr>
          <w:p>
            <w:pPr>
              <w:jc w:val="left"/>
            </w:pPr>
            <w:r>
              <w:rPr>
                <w:b/>
                <w:bCs/>
                <w:color w:val="FFFFFF"/>
              </w:rPr>
              <w:t xml:space="preserve">Aplicación Obligatoria</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rPr>
              <w:t xml:space="preserve">I. Código base</w:t>
            </w:r>
          </w:p>
        </w:tc>
        <w:tc>
          <w:tcPr>
            <w:tcW w:type="dxa" w:w="7150"/>
            <w:shd w:fill="FFFFFF" w:val="clear"/>
            <w:tcMar>
              <w:top w:type="dxa" w:w="80"/>
              <w:left w:type="dxa" w:w="100"/>
              <w:bottom w:type="dxa" w:w="80"/>
              <w:right w:type="dxa" w:w="100"/>
            </w:tcMar>
            <w:vAlign w:val="center"/>
          </w:tcPr>
          <w:p>
            <w:pPr>
              <w:jc w:val="left"/>
            </w:pPr>
            <w:r>
              <w:rPr>
                <w:b w:val="false"/>
                <w:bCs w:val="false"/>
                <w:color w:val="000000"/>
              </w:rPr>
              <w:t xml:space="preserve">Un único repositorio por servicio, desplegado en múltiples ambientes desde la misma base de código.</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rPr>
              <w:t xml:space="preserve">III. Configuración</w:t>
            </w:r>
          </w:p>
        </w:tc>
        <w:tc>
          <w:tcPr>
            <w:tcW w:type="dxa" w:w="7150"/>
            <w:shd w:fill="F2F2F2" w:val="clear"/>
            <w:tcMar>
              <w:top w:type="dxa" w:w="80"/>
              <w:left w:type="dxa" w:w="100"/>
              <w:bottom w:type="dxa" w:w="80"/>
              <w:right w:type="dxa" w:w="100"/>
            </w:tcMar>
            <w:vAlign w:val="center"/>
          </w:tcPr>
          <w:p>
            <w:pPr>
              <w:jc w:val="left"/>
            </w:pPr>
            <w:r>
              <w:rPr>
                <w:b w:val="false"/>
                <w:bCs w:val="false"/>
                <w:color w:val="000000"/>
              </w:rPr>
              <w:t xml:space="preserve">Toda configuración dependiente del ambiente se inyecta por variables de entorno; prohibido hardcodear valores por ambiente.</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rPr>
              <w:t xml:space="preserve">VI. Procesos</w:t>
            </w:r>
          </w:p>
        </w:tc>
        <w:tc>
          <w:tcPr>
            <w:tcW w:type="dxa" w:w="7150"/>
            <w:shd w:fill="FFFFFF" w:val="clear"/>
            <w:tcMar>
              <w:top w:type="dxa" w:w="80"/>
              <w:left w:type="dxa" w:w="100"/>
              <w:bottom w:type="dxa" w:w="80"/>
              <w:right w:type="dxa" w:w="100"/>
            </w:tcMar>
            <w:vAlign w:val="center"/>
          </w:tcPr>
          <w:p>
            <w:pPr>
              <w:jc w:val="left"/>
            </w:pPr>
            <w:r>
              <w:rPr>
                <w:b w:val="false"/>
                <w:bCs w:val="false"/>
                <w:color w:val="000000"/>
              </w:rPr>
              <w:t xml:space="preserve">Los servicios son stateless; cualquier estado persistente se externaliza a un almacén de datos.</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rPr>
              <w:t xml:space="preserve">IX. Disponibilidad</w:t>
            </w:r>
          </w:p>
        </w:tc>
        <w:tc>
          <w:tcPr>
            <w:tcW w:type="dxa" w:w="7150"/>
            <w:shd w:fill="F2F2F2" w:val="clear"/>
            <w:tcMar>
              <w:top w:type="dxa" w:w="80"/>
              <w:left w:type="dxa" w:w="100"/>
              <w:bottom w:type="dxa" w:w="80"/>
              <w:right w:type="dxa" w:w="100"/>
            </w:tcMar>
            <w:vAlign w:val="center"/>
          </w:tcPr>
          <w:p>
            <w:pPr>
              <w:jc w:val="left"/>
            </w:pPr>
            <w:r>
              <w:rPr>
                <w:b w:val="false"/>
                <w:bCs w:val="false"/>
                <w:color w:val="000000"/>
              </w:rPr>
              <w:t xml:space="preserve">Arranque rápido y apagado elegante (graceful shutdown), liberando conexiones antes de terminar el proceso.</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rPr>
              <w:t xml:space="preserve">XI. Logs</w:t>
            </w:r>
          </w:p>
        </w:tc>
        <w:tc>
          <w:tcPr>
            <w:tcW w:type="dxa" w:w="7150"/>
            <w:shd w:fill="FFFFFF" w:val="clear"/>
            <w:tcMar>
              <w:top w:type="dxa" w:w="80"/>
              <w:left w:type="dxa" w:w="100"/>
              <w:bottom w:type="dxa" w:w="80"/>
              <w:right w:type="dxa" w:w="100"/>
            </w:tcMar>
            <w:vAlign w:val="center"/>
          </w:tcPr>
          <w:p>
            <w:pPr>
              <w:jc w:val="left"/>
            </w:pPr>
            <w:r>
              <w:rPr>
                <w:b w:val="false"/>
                <w:bCs w:val="false"/>
                <w:color w:val="000000"/>
              </w:rPr>
              <w:t xml:space="preserve">Los logs se emiten como flujo de eventos a stdout/stderr, nunca gestionados como archivos por la propia aplicación (ver sección 4.3).</w:t>
            </w:r>
          </w:p>
        </w:tc>
      </w:tr>
    </w:tbl>
    <w:p>
      <w:pPr>
        <w:pStyle w:val="Heading1"/>
        <w:pageBreakBefore/>
        <w:spacing w:after="240" w:before="480"/>
      </w:pPr>
      <w:r>
        <w:rPr>
          <w:b/>
          <w:bCs/>
        </w:rPr>
        <w:t xml:space="preserve">6. Gestión de Dependencias y Paquetes</w:t>
      </w:r>
    </w:p>
    <w:p>
      <w:pPr>
        <w:spacing w:after="200" w:line="276"/>
      </w:pPr>
      <w:r>
        <w:t xml:space="preserve">Este capítulo establece cómo se gestionan, protegen y actualizan las dependencias de terceros utilizadas por el software de la organización.</w:t>
      </w:r>
    </w:p>
    <w:p>
      <w:pPr>
        <w:pStyle w:val="Heading2"/>
        <w:spacing w:after="180" w:before="360"/>
      </w:pPr>
      <w:r>
        <w:rPr>
          <w:b/>
          <w:bCs/>
        </w:rPr>
        <w:t xml:space="preserve">6.1. Repositorios Internos Protegidos y Lockfiles</w:t>
      </w:r>
    </w:p>
    <w:p>
      <w:pPr>
        <w:spacing w:after="200" w:line="276"/>
      </w:pPr>
      <w:r>
        <w:t xml:space="preserve">Toda dependencia de terceros se resuelve a través del repositorio de paquetes interno (proxy corporativo), nunca directamente desde repositorios públicos, lo que permite control centralizado, caché y escaneo previo de seguridad.</w:t>
      </w:r>
    </w:p>
    <w:p>
      <w:pPr>
        <w:pStyle w:val="ListParagraph"/>
        <w:numPr>
          <w:ilvl w:val="0"/>
          <w:numId w:val="2"/>
        </w:numPr>
        <w:spacing w:after="120"/>
      </w:pPr>
      <w:r>
        <w:t xml:space="preserve">Todo proyecto debe incluir un lockfile (package-lock.json, poetry.lock, pom.xml con versiones fijas, packages.lock.json, go.sum, según el stack) versionado junto con el código.</w:t>
      </w:r>
    </w:p>
    <w:p>
      <w:pPr>
        <w:pStyle w:val="ListParagraph"/>
        <w:numPr>
          <w:ilvl w:val="0"/>
          <w:numId w:val="2"/>
        </w:numPr>
        <w:spacing w:after="120"/>
      </w:pPr>
      <w:r>
        <w:t xml:space="preserve">Las construcciones (builds) son reproducibles: el mismo commit debe producir siempre el mismo árbol de dependencias resuelto.</w:t>
      </w:r>
    </w:p>
    <w:p>
      <w:pPr>
        <w:pStyle w:val="ListParagraph"/>
        <w:numPr>
          <w:ilvl w:val="0"/>
          <w:numId w:val="2"/>
        </w:numPr>
        <w:spacing w:after="120"/>
      </w:pPr>
      <w:r>
        <w:t xml:space="preserve">Las dependencias no disponibles en el repositorio interno requieren aprobación de Seguridad antes de su incorporación, conforme al proceso de SEC-001, sección 5.3.</w:t>
      </w:r>
    </w:p>
    <w:p>
      <w:pPr>
        <w:pStyle w:val="Heading2"/>
        <w:spacing w:after="180" w:before="360"/>
      </w:pPr>
      <w:r>
        <w:rPr>
          <w:b/>
          <w:bCs/>
        </w:rPr>
        <w:t xml:space="preserve">6.2. Política de Actualización de Librerías y Frameworks</w:t>
      </w:r>
    </w:p>
    <w:p>
      <w:pPr>
        <w:spacing w:after="200" w:line="276"/>
      </w:pPr>
      <w:r>
        <w:t xml:space="preserve">Las actualizaciones de dependencias se gestionan de forma proactiva y diferenciada según su tipo, evitando tanto el estancamiento tecnológico como las actualizaciones no controladas: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2400"/>
        <w:gridCol w:w="4300"/>
      </w:tblGrid>
      <w:tr>
        <w:trPr>
          <w:tblHeader/>
        </w:trPr>
        <w:tc>
          <w:tcPr>
            <w:tcW w:type="dxa" w:w="2650"/>
            <w:shd w:fill="1F3864" w:val="clear"/>
            <w:tcMar>
              <w:top w:type="dxa" w:w="80"/>
              <w:left w:type="dxa" w:w="100"/>
              <w:bottom w:type="dxa" w:w="80"/>
              <w:right w:type="dxa" w:w="100"/>
            </w:tcMar>
            <w:vAlign w:val="center"/>
          </w:tcPr>
          <w:p>
            <w:pPr>
              <w:jc w:val="left"/>
            </w:pPr>
            <w:r>
              <w:rPr>
                <w:b/>
                <w:bCs/>
                <w:color w:val="FFFFFF"/>
              </w:rPr>
              <w:t xml:space="preserve">Tipo de Actualización</w:t>
            </w:r>
          </w:p>
        </w:tc>
        <w:tc>
          <w:tcPr>
            <w:tcW w:type="dxa" w:w="2400"/>
            <w:shd w:fill="1F3864" w:val="clear"/>
            <w:tcMar>
              <w:top w:type="dxa" w:w="80"/>
              <w:left w:type="dxa" w:w="100"/>
              <w:bottom w:type="dxa" w:w="80"/>
              <w:right w:type="dxa" w:w="100"/>
            </w:tcMar>
            <w:vAlign w:val="center"/>
          </w:tcPr>
          <w:p>
            <w:pPr>
              <w:jc w:val="left"/>
            </w:pPr>
            <w:r>
              <w:rPr>
                <w:b/>
                <w:bCs/>
                <w:color w:val="FFFFFF"/>
              </w:rPr>
              <w:t xml:space="preserve">Frecuencia / Disparador</w:t>
            </w:r>
          </w:p>
        </w:tc>
        <w:tc>
          <w:tcPr>
            <w:tcW w:type="dxa" w:w="4300"/>
            <w:shd w:fill="1F3864" w:val="clear"/>
            <w:tcMar>
              <w:top w:type="dxa" w:w="80"/>
              <w:left w:type="dxa" w:w="100"/>
              <w:bottom w:type="dxa" w:w="80"/>
              <w:right w:type="dxa" w:w="100"/>
            </w:tcMar>
            <w:vAlign w:val="center"/>
          </w:tcPr>
          <w:p>
            <w:pPr>
              <w:jc w:val="left"/>
            </w:pPr>
            <w:r>
              <w:rPr>
                <w:b/>
                <w:bCs/>
                <w:color w:val="FFFFFF"/>
              </w:rPr>
              <w:t xml:space="preserve">Proceso</w:t>
            </w:r>
          </w:p>
        </w:tc>
      </w:tr>
      <w:tr>
        <w:tc>
          <w:tcPr>
            <w:tcW w:type="dxa" w:w="2650"/>
            <w:shd w:fill="FFFFFF" w:val="clear"/>
            <w:tcMar>
              <w:top w:type="dxa" w:w="80"/>
              <w:left w:type="dxa" w:w="100"/>
              <w:bottom w:type="dxa" w:w="80"/>
              <w:right w:type="dxa" w:w="100"/>
            </w:tcMar>
            <w:vAlign w:val="center"/>
          </w:tcPr>
          <w:p>
            <w:pPr>
              <w:jc w:val="left"/>
            </w:pPr>
            <w:r>
              <w:rPr>
                <w:b w:val="false"/>
                <w:bCs w:val="false"/>
                <w:color w:val="000000"/>
              </w:rPr>
              <w:t xml:space="preserve">Parches de seguridad (crítica/alta)</w:t>
            </w:r>
          </w:p>
        </w:tc>
        <w:tc>
          <w:tcPr>
            <w:tcW w:type="dxa" w:w="2400"/>
            <w:shd w:fill="FFFFFF" w:val="clear"/>
            <w:tcMar>
              <w:top w:type="dxa" w:w="80"/>
              <w:left w:type="dxa" w:w="100"/>
              <w:bottom w:type="dxa" w:w="80"/>
              <w:right w:type="dxa" w:w="100"/>
            </w:tcMar>
            <w:vAlign w:val="center"/>
          </w:tcPr>
          <w:p>
            <w:pPr>
              <w:jc w:val="left"/>
            </w:pPr>
            <w:r>
              <w:rPr>
                <w:b w:val="false"/>
                <w:bCs w:val="false"/>
                <w:color w:val="000000"/>
              </w:rPr>
              <w:t xml:space="preserve">Inmediato, según SLA de SEC-001</w:t>
            </w:r>
          </w:p>
        </w:tc>
        <w:tc>
          <w:tcPr>
            <w:tcW w:type="dxa" w:w="4300"/>
            <w:shd w:fill="FFFFFF" w:val="clear"/>
            <w:tcMar>
              <w:top w:type="dxa" w:w="80"/>
              <w:left w:type="dxa" w:w="100"/>
              <w:bottom w:type="dxa" w:w="80"/>
              <w:right w:type="dxa" w:w="100"/>
            </w:tcMar>
            <w:vAlign w:val="center"/>
          </w:tcPr>
          <w:p>
            <w:pPr>
              <w:jc w:val="left"/>
            </w:pPr>
            <w:r>
              <w:rPr>
                <w:b w:val="false"/>
                <w:bCs w:val="false"/>
                <w:color w:val="000000"/>
              </w:rPr>
              <w:t xml:space="preserve">Automatizada vía bot de dependencias, con fusión automática si las pruebas pasan.</w:t>
            </w:r>
          </w:p>
        </w:tc>
      </w:tr>
      <w:tr>
        <w:tc>
          <w:tcPr>
            <w:tcW w:type="dxa" w:w="2650"/>
            <w:shd w:fill="F2F2F2" w:val="clear"/>
            <w:tcMar>
              <w:top w:type="dxa" w:w="80"/>
              <w:left w:type="dxa" w:w="100"/>
              <w:bottom w:type="dxa" w:w="80"/>
              <w:right w:type="dxa" w:w="100"/>
            </w:tcMar>
            <w:vAlign w:val="center"/>
          </w:tcPr>
          <w:p>
            <w:pPr>
              <w:jc w:val="left"/>
            </w:pPr>
            <w:r>
              <w:rPr>
                <w:b w:val="false"/>
                <w:bCs w:val="false"/>
                <w:color w:val="000000"/>
              </w:rPr>
              <w:t xml:space="preserve">Versión menor (minor)</w:t>
            </w:r>
          </w:p>
        </w:tc>
        <w:tc>
          <w:tcPr>
            <w:tcW w:type="dxa" w:w="2400"/>
            <w:shd w:fill="F2F2F2" w:val="clear"/>
            <w:tcMar>
              <w:top w:type="dxa" w:w="80"/>
              <w:left w:type="dxa" w:w="100"/>
              <w:bottom w:type="dxa" w:w="80"/>
              <w:right w:type="dxa" w:w="100"/>
            </w:tcMar>
            <w:vAlign w:val="center"/>
          </w:tcPr>
          <w:p>
            <w:pPr>
              <w:jc w:val="left"/>
            </w:pPr>
            <w:r>
              <w:rPr>
                <w:b w:val="false"/>
                <w:bCs w:val="false"/>
                <w:color w:val="000000"/>
              </w:rPr>
              <w:t xml:space="preserve">Mensual</w:t>
            </w:r>
          </w:p>
        </w:tc>
        <w:tc>
          <w:tcPr>
            <w:tcW w:type="dxa" w:w="4300"/>
            <w:shd w:fill="F2F2F2" w:val="clear"/>
            <w:tcMar>
              <w:top w:type="dxa" w:w="80"/>
              <w:left w:type="dxa" w:w="100"/>
              <w:bottom w:type="dxa" w:w="80"/>
              <w:right w:type="dxa" w:w="100"/>
            </w:tcMar>
            <w:vAlign w:val="center"/>
          </w:tcPr>
          <w:p>
            <w:pPr>
              <w:jc w:val="left"/>
            </w:pPr>
            <w:r>
              <w:rPr>
                <w:b w:val="false"/>
                <w:bCs w:val="false"/>
                <w:color w:val="000000"/>
              </w:rPr>
              <w:t xml:space="preserve">Revisión agrupada por el equipo propietario del servicio.</w:t>
            </w:r>
          </w:p>
        </w:tc>
      </w:tr>
      <w:tr>
        <w:tc>
          <w:tcPr>
            <w:tcW w:type="dxa" w:w="2650"/>
            <w:shd w:fill="FFFFFF" w:val="clear"/>
            <w:tcMar>
              <w:top w:type="dxa" w:w="80"/>
              <w:left w:type="dxa" w:w="100"/>
              <w:bottom w:type="dxa" w:w="80"/>
              <w:right w:type="dxa" w:w="100"/>
            </w:tcMar>
            <w:vAlign w:val="center"/>
          </w:tcPr>
          <w:p>
            <w:pPr>
              <w:jc w:val="left"/>
            </w:pPr>
            <w:r>
              <w:rPr>
                <w:b w:val="false"/>
                <w:bCs w:val="false"/>
                <w:color w:val="000000"/>
              </w:rPr>
              <w:t xml:space="preserve">Versión mayor (major)</w:t>
            </w:r>
          </w:p>
        </w:tc>
        <w:tc>
          <w:tcPr>
            <w:tcW w:type="dxa" w:w="2400"/>
            <w:shd w:fill="FFFFFF" w:val="clear"/>
            <w:tcMar>
              <w:top w:type="dxa" w:w="80"/>
              <w:left w:type="dxa" w:w="100"/>
              <w:bottom w:type="dxa" w:w="80"/>
              <w:right w:type="dxa" w:w="100"/>
            </w:tcMar>
            <w:vAlign w:val="center"/>
          </w:tcPr>
          <w:p>
            <w:pPr>
              <w:jc w:val="left"/>
            </w:pPr>
            <w:r>
              <w:rPr>
                <w:b w:val="false"/>
                <w:bCs w:val="false"/>
                <w:color w:val="000000"/>
              </w:rPr>
              <w:t xml:space="preserve">Trimestral o bajo demanda</w:t>
            </w:r>
          </w:p>
        </w:tc>
        <w:tc>
          <w:tcPr>
            <w:tcW w:type="dxa" w:w="4300"/>
            <w:shd w:fill="FFFFFF" w:val="clear"/>
            <w:tcMar>
              <w:top w:type="dxa" w:w="80"/>
              <w:left w:type="dxa" w:w="100"/>
              <w:bottom w:type="dxa" w:w="80"/>
              <w:right w:type="dxa" w:w="100"/>
            </w:tcMar>
            <w:vAlign w:val="center"/>
          </w:tcPr>
          <w:p>
            <w:pPr>
              <w:jc w:val="left"/>
            </w:pPr>
            <w:r>
              <w:rPr>
                <w:b w:val="false"/>
                <w:bCs w:val="false"/>
                <w:color w:val="000000"/>
              </w:rPr>
              <w:t xml:space="preserve">Evaluación de impacto y plan de migración aprobado por el equipo.</w:t>
            </w:r>
          </w:p>
        </w:tc>
      </w:tr>
      <w:tr>
        <w:tc>
          <w:tcPr>
            <w:tcW w:type="dxa" w:w="2650"/>
            <w:shd w:fill="F2F2F2" w:val="clear"/>
            <w:tcMar>
              <w:top w:type="dxa" w:w="80"/>
              <w:left w:type="dxa" w:w="100"/>
              <w:bottom w:type="dxa" w:w="80"/>
              <w:right w:type="dxa" w:w="100"/>
            </w:tcMar>
            <w:vAlign w:val="center"/>
          </w:tcPr>
          <w:p>
            <w:pPr>
              <w:jc w:val="left"/>
            </w:pPr>
            <w:r>
              <w:rPr>
                <w:b w:val="false"/>
                <w:bCs w:val="false"/>
                <w:color w:val="000000"/>
              </w:rPr>
              <w:t xml:space="preserve">Frameworks base (runtime, lenguaje)</w:t>
            </w:r>
          </w:p>
        </w:tc>
        <w:tc>
          <w:tcPr>
            <w:tcW w:type="dxa" w:w="2400"/>
            <w:shd w:fill="F2F2F2" w:val="clear"/>
            <w:tcMar>
              <w:top w:type="dxa" w:w="80"/>
              <w:left w:type="dxa" w:w="100"/>
              <w:bottom w:type="dxa" w:w="80"/>
              <w:right w:type="dxa" w:w="100"/>
            </w:tcMar>
            <w:vAlign w:val="center"/>
          </w:tcPr>
          <w:p>
            <w:pPr>
              <w:jc w:val="left"/>
            </w:pPr>
            <w:r>
              <w:rPr>
                <w:b w:val="false"/>
                <w:bCs w:val="false"/>
                <w:color w:val="000000"/>
              </w:rPr>
              <w:t xml:space="preserve">Según ciclo de soporte del proveedor (LTS)</w:t>
            </w:r>
          </w:p>
        </w:tc>
        <w:tc>
          <w:tcPr>
            <w:tcW w:type="dxa" w:w="4300"/>
            <w:shd w:fill="F2F2F2" w:val="clear"/>
            <w:tcMar>
              <w:top w:type="dxa" w:w="80"/>
              <w:left w:type="dxa" w:w="100"/>
              <w:bottom w:type="dxa" w:w="80"/>
              <w:right w:type="dxa" w:w="100"/>
            </w:tcMar>
            <w:vAlign w:val="center"/>
          </w:tcPr>
          <w:p>
            <w:pPr>
              <w:jc w:val="left"/>
            </w:pPr>
            <w:r>
              <w:rPr>
                <w:b w:val="false"/>
                <w:bCs w:val="false"/>
                <w:color w:val="000000"/>
              </w:rPr>
              <w:t xml:space="preserve">Coordinado con la Oficina de Arquitectura, ver ARC-001 sección 7.</w:t>
            </w:r>
          </w:p>
        </w:tc>
      </w:tr>
    </w:tbl>
    <w:p>
      <w:pPr>
        <w:pStyle w:val="Heading1"/>
        <w:pageBreakBefore/>
        <w:spacing w:after="240" w:before="480"/>
      </w:pPr>
      <w:r>
        <w:rPr>
          <w:b/>
          <w:bCs/>
        </w:rPr>
        <w:t xml:space="preserve">7. Anexos</w:t>
      </w:r>
    </w:p>
    <w:p>
      <w:pPr>
        <w:pStyle w:val="Heading2"/>
        <w:spacing w:after="180" w:before="360"/>
      </w:pPr>
      <w:r>
        <w:rPr>
          <w:b/>
          <w:bCs/>
        </w:rPr>
        <w:t xml:space="preserve">7.1. Ejemplos de Estructura de Proyecto por Stack (Node.js, Java, Python, .NET)</w:t>
      </w:r>
    </w:p>
    <w:p>
      <w:pPr>
        <w:spacing w:after="200" w:line="276"/>
      </w:pPr>
      <w:r>
        <w:t xml:space="preserve">Las siguientes estructuras de referencia ilustran la organización de carpetas esperada para un microservicio típico en cada stack tecnológico homologado (ver ARC-001, capítulo 4).</w:t>
      </w:r>
    </w:p>
    <w:p>
      <w:pPr>
        <w:spacing w:after="100" w:before="200"/>
      </w:pPr>
      <w:r>
        <w:rPr>
          <w:b/>
          <w:bCs/>
        </w:rPr>
        <w:t xml:space="preserve">Node.js / TypeScript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0"/>
            </w:pPr>
            <w:r>
              <w:rPr>
                <w:rFonts w:ascii="Consolas" w:cs="Consolas" w:eastAsia="Consolas" w:hAnsi="Consolas"/>
                <w:color w:val="D4D4D4"/>
                <w:sz w:val="18"/>
                <w:szCs w:val="18"/>
              </w:rPr>
              <w:t xml:space="preserve">servicio-pagos/</w:t>
            </w:r>
          </w:p>
          <w:p>
            <w:pPr>
              <w:spacing w:after="0"/>
            </w:pPr>
            <w:r>
              <w:rPr>
                <w:rFonts w:ascii="Consolas" w:cs="Consolas" w:eastAsia="Consolas" w:hAnsi="Consolas"/>
                <w:color w:val="D4D4D4"/>
                <w:sz w:val="18"/>
                <w:szCs w:val="18"/>
              </w:rPr>
              <w:t xml:space="preserve">├── src/</w:t>
            </w:r>
          </w:p>
          <w:p>
            <w:pPr>
              <w:spacing w:after="0"/>
            </w:pPr>
            <w:r>
              <w:rPr>
                <w:rFonts w:ascii="Consolas" w:cs="Consolas" w:eastAsia="Consolas" w:hAnsi="Consolas"/>
                <w:color w:val="D4D4D4"/>
                <w:sz w:val="18"/>
                <w:szCs w:val="18"/>
              </w:rPr>
              <w:t xml:space="preserve">│   ├── domain/          # Entidades y reglas de negocio</w:t>
            </w:r>
          </w:p>
          <w:p>
            <w:pPr>
              <w:spacing w:after="0"/>
            </w:pPr>
            <w:r>
              <w:rPr>
                <w:rFonts w:ascii="Consolas" w:cs="Consolas" w:eastAsia="Consolas" w:hAnsi="Consolas"/>
                <w:color w:val="D4D4D4"/>
                <w:sz w:val="18"/>
                <w:szCs w:val="18"/>
              </w:rPr>
              <w:t xml:space="preserve">│   ├── application/     # Casos de uso / servicios de aplicación</w:t>
            </w:r>
          </w:p>
          <w:p>
            <w:pPr>
              <w:spacing w:after="0"/>
            </w:pPr>
            <w:r>
              <w:rPr>
                <w:rFonts w:ascii="Consolas" w:cs="Consolas" w:eastAsia="Consolas" w:hAnsi="Consolas"/>
                <w:color w:val="D4D4D4"/>
                <w:sz w:val="18"/>
                <w:szCs w:val="18"/>
              </w:rPr>
              <w:t xml:space="preserve">│   ├── infrastructure/  # Repositorios, clientes externos</w:t>
            </w:r>
          </w:p>
          <w:p>
            <w:pPr>
              <w:spacing w:after="0"/>
            </w:pPr>
            <w:r>
              <w:rPr>
                <w:rFonts w:ascii="Consolas" w:cs="Consolas" w:eastAsia="Consolas" w:hAnsi="Consolas"/>
                <w:color w:val="D4D4D4"/>
                <w:sz w:val="18"/>
                <w:szCs w:val="18"/>
              </w:rPr>
              <w:t xml:space="preserve">│   ├── interfaces/      # Controllers REST, consumidores de eventos</w:t>
            </w:r>
          </w:p>
          <w:p>
            <w:pPr>
              <w:spacing w:after="0"/>
            </w:pPr>
            <w:r>
              <w:rPr>
                <w:rFonts w:ascii="Consolas" w:cs="Consolas" w:eastAsia="Consolas" w:hAnsi="Consolas"/>
                <w:color w:val="D4D4D4"/>
                <w:sz w:val="18"/>
                <w:szCs w:val="18"/>
              </w:rPr>
              <w:t xml:space="preserve">│   └── config/          # Carga de configuración por entorno</w:t>
            </w:r>
          </w:p>
          <w:p>
            <w:pPr>
              <w:spacing w:after="0"/>
            </w:pPr>
            <w:r>
              <w:rPr>
                <w:rFonts w:ascii="Consolas" w:cs="Consolas" w:eastAsia="Consolas" w:hAnsi="Consolas"/>
                <w:color w:val="D4D4D4"/>
                <w:sz w:val="18"/>
                <w:szCs w:val="18"/>
              </w:rPr>
              <w:t xml:space="preserve">├── test/</w:t>
            </w:r>
          </w:p>
          <w:p>
            <w:pPr>
              <w:spacing w:after="0"/>
            </w:pPr>
            <w:r>
              <w:rPr>
                <w:rFonts w:ascii="Consolas" w:cs="Consolas" w:eastAsia="Consolas" w:hAnsi="Consolas"/>
                <w:color w:val="D4D4D4"/>
                <w:sz w:val="18"/>
                <w:szCs w:val="18"/>
              </w:rPr>
              <w:t xml:space="preserve">├── package.json</w:t>
            </w:r>
          </w:p>
          <w:p>
            <w:pPr>
              <w:spacing w:after="0"/>
            </w:pPr>
            <w:r>
              <w:rPr>
                <w:rFonts w:ascii="Consolas" w:cs="Consolas" w:eastAsia="Consolas" w:hAnsi="Consolas"/>
                <w:color w:val="D4D4D4"/>
                <w:sz w:val="18"/>
                <w:szCs w:val="18"/>
              </w:rPr>
              <w:t xml:space="preserve">├── package-lock.json</w:t>
            </w:r>
          </w:p>
          <w:p>
            <w:pPr>
              <w:spacing w:after="0"/>
            </w:pPr>
            <w:r>
              <w:rPr>
                <w:rFonts w:ascii="Consolas" w:cs="Consolas" w:eastAsia="Consolas" w:hAnsi="Consolas"/>
                <w:color w:val="D4D4D4"/>
                <w:sz w:val="18"/>
                <w:szCs w:val="18"/>
              </w:rPr>
              <w:t xml:space="preserve">└── .gitlab-ci.yml</w:t>
            </w:r>
          </w:p>
        </w:tc>
      </w:tr>
    </w:tbl>
    <w:p>
      <w:pPr>
        <w:spacing w:after="200"/>
      </w:pPr>
    </w:p>
    <w:p>
      <w:pPr>
        <w:spacing w:after="100" w:before="200"/>
      </w:pPr>
      <w:r>
        <w:rPr>
          <w:b/>
          <w:bCs/>
        </w:rPr>
        <w:t xml:space="preserve">Java (Spring Boot)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0"/>
            </w:pPr>
            <w:r>
              <w:rPr>
                <w:rFonts w:ascii="Consolas" w:cs="Consolas" w:eastAsia="Consolas" w:hAnsi="Consolas"/>
                <w:color w:val="D4D4D4"/>
                <w:sz w:val="18"/>
                <w:szCs w:val="18"/>
              </w:rPr>
              <w:t xml:space="preserve">servicio-pagos/</w:t>
            </w:r>
          </w:p>
          <w:p>
            <w:pPr>
              <w:spacing w:after="0"/>
            </w:pPr>
            <w:r>
              <w:rPr>
                <w:rFonts w:ascii="Consolas" w:cs="Consolas" w:eastAsia="Consolas" w:hAnsi="Consolas"/>
                <w:color w:val="D4D4D4"/>
                <w:sz w:val="18"/>
                <w:szCs w:val="18"/>
              </w:rPr>
              <w:t xml:space="preserve">├── src/main/java/com/empresa/pagos/</w:t>
            </w:r>
          </w:p>
          <w:p>
            <w:pPr>
              <w:spacing w:after="0"/>
            </w:pPr>
            <w:r>
              <w:rPr>
                <w:rFonts w:ascii="Consolas" w:cs="Consolas" w:eastAsia="Consolas" w:hAnsi="Consolas"/>
                <w:color w:val="D4D4D4"/>
                <w:sz w:val="18"/>
                <w:szCs w:val="18"/>
              </w:rPr>
              <w:t xml:space="preserve">│   ├── domain/</w:t>
            </w:r>
          </w:p>
          <w:p>
            <w:pPr>
              <w:spacing w:after="0"/>
            </w:pPr>
            <w:r>
              <w:rPr>
                <w:rFonts w:ascii="Consolas" w:cs="Consolas" w:eastAsia="Consolas" w:hAnsi="Consolas"/>
                <w:color w:val="D4D4D4"/>
                <w:sz w:val="18"/>
                <w:szCs w:val="18"/>
              </w:rPr>
              <w:t xml:space="preserve">│   ├── application/</w:t>
            </w:r>
          </w:p>
          <w:p>
            <w:pPr>
              <w:spacing w:after="0"/>
            </w:pPr>
            <w:r>
              <w:rPr>
                <w:rFonts w:ascii="Consolas" w:cs="Consolas" w:eastAsia="Consolas" w:hAnsi="Consolas"/>
                <w:color w:val="D4D4D4"/>
                <w:sz w:val="18"/>
                <w:szCs w:val="18"/>
              </w:rPr>
              <w:t xml:space="preserve">│   ├── infrastructure/</w:t>
            </w:r>
          </w:p>
          <w:p>
            <w:pPr>
              <w:spacing w:after="0"/>
            </w:pPr>
            <w:r>
              <w:rPr>
                <w:rFonts w:ascii="Consolas" w:cs="Consolas" w:eastAsia="Consolas" w:hAnsi="Consolas"/>
                <w:color w:val="D4D4D4"/>
                <w:sz w:val="18"/>
                <w:szCs w:val="18"/>
              </w:rPr>
              <w:t xml:space="preserve">│   └── interfaces/rest/</w:t>
            </w:r>
          </w:p>
          <w:p>
            <w:pPr>
              <w:spacing w:after="0"/>
            </w:pPr>
            <w:r>
              <w:rPr>
                <w:rFonts w:ascii="Consolas" w:cs="Consolas" w:eastAsia="Consolas" w:hAnsi="Consolas"/>
                <w:color w:val="D4D4D4"/>
                <w:sz w:val="18"/>
                <w:szCs w:val="18"/>
              </w:rPr>
              <w:t xml:space="preserve">├── src/main/resources/</w:t>
            </w:r>
          </w:p>
          <w:p>
            <w:pPr>
              <w:spacing w:after="0"/>
            </w:pPr>
            <w:r>
              <w:rPr>
                <w:rFonts w:ascii="Consolas" w:cs="Consolas" w:eastAsia="Consolas" w:hAnsi="Consolas"/>
                <w:color w:val="D4D4D4"/>
                <w:sz w:val="18"/>
                <w:szCs w:val="18"/>
              </w:rPr>
              <w:t xml:space="preserve">│   └── application.yml</w:t>
            </w:r>
          </w:p>
          <w:p>
            <w:pPr>
              <w:spacing w:after="0"/>
            </w:pPr>
            <w:r>
              <w:rPr>
                <w:rFonts w:ascii="Consolas" w:cs="Consolas" w:eastAsia="Consolas" w:hAnsi="Consolas"/>
                <w:color w:val="D4D4D4"/>
                <w:sz w:val="18"/>
                <w:szCs w:val="18"/>
              </w:rPr>
              <w:t xml:space="preserve">├── src/test/java/...</w:t>
            </w:r>
          </w:p>
          <w:p>
            <w:pPr>
              <w:spacing w:after="0"/>
            </w:pPr>
            <w:r>
              <w:rPr>
                <w:rFonts w:ascii="Consolas" w:cs="Consolas" w:eastAsia="Consolas" w:hAnsi="Consolas"/>
                <w:color w:val="D4D4D4"/>
                <w:sz w:val="18"/>
                <w:szCs w:val="18"/>
              </w:rPr>
              <w:t xml:space="preserve">├── pom.xml</w:t>
            </w:r>
          </w:p>
          <w:p>
            <w:pPr>
              <w:spacing w:after="0"/>
            </w:pPr>
            <w:r>
              <w:rPr>
                <w:rFonts w:ascii="Consolas" w:cs="Consolas" w:eastAsia="Consolas" w:hAnsi="Consolas"/>
                <w:color w:val="D4D4D4"/>
                <w:sz w:val="18"/>
                <w:szCs w:val="18"/>
              </w:rPr>
              <w:t xml:space="preserve">└── .gitlab-ci.yml</w:t>
            </w:r>
          </w:p>
        </w:tc>
      </w:tr>
    </w:tbl>
    <w:p>
      <w:pPr>
        <w:spacing w:after="200"/>
      </w:pPr>
    </w:p>
    <w:p>
      <w:pPr>
        <w:spacing w:after="100" w:before="200"/>
      </w:pPr>
      <w:r>
        <w:rPr>
          <w:b/>
          <w:bCs/>
        </w:rPr>
        <w:t xml:space="preserve">Python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0"/>
            </w:pPr>
            <w:r>
              <w:rPr>
                <w:rFonts w:ascii="Consolas" w:cs="Consolas" w:eastAsia="Consolas" w:hAnsi="Consolas"/>
                <w:color w:val="D4D4D4"/>
                <w:sz w:val="18"/>
                <w:szCs w:val="18"/>
              </w:rPr>
              <w:t xml:space="preserve">servicio_pagos/</w:t>
            </w:r>
          </w:p>
          <w:p>
            <w:pPr>
              <w:spacing w:after="0"/>
            </w:pPr>
            <w:r>
              <w:rPr>
                <w:rFonts w:ascii="Consolas" w:cs="Consolas" w:eastAsia="Consolas" w:hAnsi="Consolas"/>
                <w:color w:val="D4D4D4"/>
                <w:sz w:val="18"/>
                <w:szCs w:val="18"/>
              </w:rPr>
              <w:t xml:space="preserve">├── servicio_pagos/</w:t>
            </w:r>
          </w:p>
          <w:p>
            <w:pPr>
              <w:spacing w:after="0"/>
            </w:pPr>
            <w:r>
              <w:rPr>
                <w:rFonts w:ascii="Consolas" w:cs="Consolas" w:eastAsia="Consolas" w:hAnsi="Consolas"/>
                <w:color w:val="D4D4D4"/>
                <w:sz w:val="18"/>
                <w:szCs w:val="18"/>
              </w:rPr>
              <w:t xml:space="preserve">│   ├── domain/</w:t>
            </w:r>
          </w:p>
          <w:p>
            <w:pPr>
              <w:spacing w:after="0"/>
            </w:pPr>
            <w:r>
              <w:rPr>
                <w:rFonts w:ascii="Consolas" w:cs="Consolas" w:eastAsia="Consolas" w:hAnsi="Consolas"/>
                <w:color w:val="D4D4D4"/>
                <w:sz w:val="18"/>
                <w:szCs w:val="18"/>
              </w:rPr>
              <w:t xml:space="preserve">│   ├── application/</w:t>
            </w:r>
          </w:p>
          <w:p>
            <w:pPr>
              <w:spacing w:after="0"/>
            </w:pPr>
            <w:r>
              <w:rPr>
                <w:rFonts w:ascii="Consolas" w:cs="Consolas" w:eastAsia="Consolas" w:hAnsi="Consolas"/>
                <w:color w:val="D4D4D4"/>
                <w:sz w:val="18"/>
                <w:szCs w:val="18"/>
              </w:rPr>
              <w:t xml:space="preserve">│   ├── infrastructure/</w:t>
            </w:r>
          </w:p>
          <w:p>
            <w:pPr>
              <w:spacing w:after="0"/>
            </w:pPr>
            <w:r>
              <w:rPr>
                <w:rFonts w:ascii="Consolas" w:cs="Consolas" w:eastAsia="Consolas" w:hAnsi="Consolas"/>
                <w:color w:val="D4D4D4"/>
                <w:sz w:val="18"/>
                <w:szCs w:val="18"/>
              </w:rPr>
              <w:t xml:space="preserve">│   └── interfaces/</w:t>
            </w:r>
          </w:p>
          <w:p>
            <w:pPr>
              <w:spacing w:after="0"/>
            </w:pPr>
            <w:r>
              <w:rPr>
                <w:rFonts w:ascii="Consolas" w:cs="Consolas" w:eastAsia="Consolas" w:hAnsi="Consolas"/>
                <w:color w:val="D4D4D4"/>
                <w:sz w:val="18"/>
                <w:szCs w:val="18"/>
              </w:rPr>
              <w:t xml:space="preserve">├── tests/</w:t>
            </w:r>
          </w:p>
          <w:p>
            <w:pPr>
              <w:spacing w:after="0"/>
            </w:pPr>
            <w:r>
              <w:rPr>
                <w:rFonts w:ascii="Consolas" w:cs="Consolas" w:eastAsia="Consolas" w:hAnsi="Consolas"/>
                <w:color w:val="D4D4D4"/>
                <w:sz w:val="18"/>
                <w:szCs w:val="18"/>
              </w:rPr>
              <w:t xml:space="preserve">├── pyproject.toml</w:t>
            </w:r>
          </w:p>
          <w:p>
            <w:pPr>
              <w:spacing w:after="0"/>
            </w:pPr>
            <w:r>
              <w:rPr>
                <w:rFonts w:ascii="Consolas" w:cs="Consolas" w:eastAsia="Consolas" w:hAnsi="Consolas"/>
                <w:color w:val="D4D4D4"/>
                <w:sz w:val="18"/>
                <w:szCs w:val="18"/>
              </w:rPr>
              <w:t xml:space="preserve">├── poetry.lock</w:t>
            </w:r>
          </w:p>
          <w:p>
            <w:pPr>
              <w:spacing w:after="0"/>
            </w:pPr>
            <w:r>
              <w:rPr>
                <w:rFonts w:ascii="Consolas" w:cs="Consolas" w:eastAsia="Consolas" w:hAnsi="Consolas"/>
                <w:color w:val="D4D4D4"/>
                <w:sz w:val="18"/>
                <w:szCs w:val="18"/>
              </w:rPr>
              <w:t xml:space="preserve">└── .gitlab-ci.yml</w:t>
            </w:r>
          </w:p>
        </w:tc>
      </w:tr>
    </w:tbl>
    <w:p>
      <w:pPr>
        <w:spacing w:after="200"/>
      </w:pPr>
    </w:p>
    <w:p>
      <w:pPr>
        <w:spacing w:after="100" w:before="200"/>
      </w:pPr>
      <w:r>
        <w:rPr>
          <w:b/>
          <w:bCs/>
        </w:rPr>
        <w:t xml:space="preserve">.NET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0"/>
            </w:pPr>
            <w:r>
              <w:rPr>
                <w:rFonts w:ascii="Consolas" w:cs="Consolas" w:eastAsia="Consolas" w:hAnsi="Consolas"/>
                <w:color w:val="D4D4D4"/>
                <w:sz w:val="18"/>
                <w:szCs w:val="18"/>
              </w:rPr>
              <w:t xml:space="preserve">ServicioPagos/</w:t>
            </w:r>
          </w:p>
          <w:p>
            <w:pPr>
              <w:spacing w:after="0"/>
            </w:pPr>
            <w:r>
              <w:rPr>
                <w:rFonts w:ascii="Consolas" w:cs="Consolas" w:eastAsia="Consolas" w:hAnsi="Consolas"/>
                <w:color w:val="D4D4D4"/>
                <w:sz w:val="18"/>
                <w:szCs w:val="18"/>
              </w:rPr>
              <w:t xml:space="preserve">├── src/</w:t>
            </w:r>
          </w:p>
          <w:p>
            <w:pPr>
              <w:spacing w:after="0"/>
            </w:pPr>
            <w:r>
              <w:rPr>
                <w:rFonts w:ascii="Consolas" w:cs="Consolas" w:eastAsia="Consolas" w:hAnsi="Consolas"/>
                <w:color w:val="D4D4D4"/>
                <w:sz w:val="18"/>
                <w:szCs w:val="18"/>
              </w:rPr>
              <w:t xml:space="preserve">│   ├── ServicioPagos.Domain/</w:t>
            </w:r>
          </w:p>
          <w:p>
            <w:pPr>
              <w:spacing w:after="0"/>
            </w:pPr>
            <w:r>
              <w:rPr>
                <w:rFonts w:ascii="Consolas" w:cs="Consolas" w:eastAsia="Consolas" w:hAnsi="Consolas"/>
                <w:color w:val="D4D4D4"/>
                <w:sz w:val="18"/>
                <w:szCs w:val="18"/>
              </w:rPr>
              <w:t xml:space="preserve">│   ├── ServicioPagos.Application/</w:t>
            </w:r>
          </w:p>
          <w:p>
            <w:pPr>
              <w:spacing w:after="0"/>
            </w:pPr>
            <w:r>
              <w:rPr>
                <w:rFonts w:ascii="Consolas" w:cs="Consolas" w:eastAsia="Consolas" w:hAnsi="Consolas"/>
                <w:color w:val="D4D4D4"/>
                <w:sz w:val="18"/>
                <w:szCs w:val="18"/>
              </w:rPr>
              <w:t xml:space="preserve">│   ├── ServicioPagos.Infrastructure/</w:t>
            </w:r>
          </w:p>
          <w:p>
            <w:pPr>
              <w:spacing w:after="0"/>
            </w:pPr>
            <w:r>
              <w:rPr>
                <w:rFonts w:ascii="Consolas" w:cs="Consolas" w:eastAsia="Consolas" w:hAnsi="Consolas"/>
                <w:color w:val="D4D4D4"/>
                <w:sz w:val="18"/>
                <w:szCs w:val="18"/>
              </w:rPr>
              <w:t xml:space="preserve">│   └── ServicioPagos.Api/</w:t>
            </w:r>
          </w:p>
          <w:p>
            <w:pPr>
              <w:spacing w:after="0"/>
            </w:pPr>
            <w:r>
              <w:rPr>
                <w:rFonts w:ascii="Consolas" w:cs="Consolas" w:eastAsia="Consolas" w:hAnsi="Consolas"/>
                <w:color w:val="D4D4D4"/>
                <w:sz w:val="18"/>
                <w:szCs w:val="18"/>
              </w:rPr>
              <w:t xml:space="preserve">├── tests/</w:t>
            </w:r>
          </w:p>
          <w:p>
            <w:pPr>
              <w:spacing w:after="0"/>
            </w:pPr>
            <w:r>
              <w:rPr>
                <w:rFonts w:ascii="Consolas" w:cs="Consolas" w:eastAsia="Consolas" w:hAnsi="Consolas"/>
                <w:color w:val="D4D4D4"/>
                <w:sz w:val="18"/>
                <w:szCs w:val="18"/>
              </w:rPr>
              <w:t xml:space="preserve">│   └── ServicioPagos.Tests/</w:t>
            </w:r>
          </w:p>
          <w:p>
            <w:pPr>
              <w:spacing w:after="0"/>
            </w:pPr>
            <w:r>
              <w:rPr>
                <w:rFonts w:ascii="Consolas" w:cs="Consolas" w:eastAsia="Consolas" w:hAnsi="Consolas"/>
                <w:color w:val="D4D4D4"/>
                <w:sz w:val="18"/>
                <w:szCs w:val="18"/>
              </w:rPr>
              <w:t xml:space="preserve">├── ServicioPagos.sln</w:t>
            </w:r>
          </w:p>
          <w:p>
            <w:pPr>
              <w:spacing w:after="0"/>
            </w:pPr>
            <w:r>
              <w:rPr>
                <w:rFonts w:ascii="Consolas" w:cs="Consolas" w:eastAsia="Consolas" w:hAnsi="Consolas"/>
                <w:color w:val="D4D4D4"/>
                <w:sz w:val="18"/>
                <w:szCs w:val="18"/>
              </w:rPr>
              <w:t xml:space="preserve">├── Directory.Packages.props</w:t>
            </w:r>
          </w:p>
          <w:p>
            <w:pPr>
              <w:spacing w:after="0"/>
            </w:pPr>
            <w:r>
              <w:rPr>
                <w:rFonts w:ascii="Consolas" w:cs="Consolas" w:eastAsia="Consolas" w:hAnsi="Consolas"/>
                <w:color w:val="D4D4D4"/>
                <w:sz w:val="18"/>
                <w:szCs w:val="18"/>
              </w:rPr>
              <w:t xml:space="preserve">└── .gitlab-ci.yml</w:t>
            </w:r>
          </w:p>
        </w:tc>
      </w:tr>
    </w:tbl>
    <w:p>
      <w:pPr>
        <w:pBdr>
          <w:top w:val="single" w:color="BFBFBF" w:sz="4"/>
        </w:pBdr>
        <w:spacing w:before="400"/>
      </w:pPr>
    </w:p>
    <w:p>
      <w:pPr>
        <w:spacing w:before="200"/>
      </w:pPr>
      <w:r>
        <w:rPr>
          <w:i/>
          <w:iCs/>
          <w:color w:val="808080"/>
          <w:sz w:val="18"/>
          <w:szCs w:val="18"/>
        </w:rPr>
        <w:t xml:space="preserve">Fin del documento ENG-001 — Estándares de Ingeniería de Software</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r>
      <w:rPr>
        <w:color w:val="808080"/>
        <w:sz w:val="16"/>
        <w:szCs w:val="16"/>
      </w:rPr>
      <w:t xml:space="preserve"> de </w:t>
    </w:r>
    <w:r>
      <w:rPr>
        <w:color w:val="808080"/>
        <w:sz w:val="16"/>
        <w:szCs w:val="16"/>
      </w:rPr>
      <w:fldChar w:fldCharType="begin"/>
      <w:instrText xml:space="preserve">NUMPAGES</w:instrText>
      <w:fldChar w:fldCharType="separate"/>
      <w:fldChar w:fldCharType="end"/>
    </w:r>
    <w:r>
      <w:rPr>
        <w:color w:val="808080"/>
        <w:sz w:val="16"/>
        <w:szCs w:val="16"/>
      </w:rPr>
      <w:t xml:space="preserve">  |  Uso Interno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color w:val="808080"/>
        <w:sz w:val="16"/>
        <w:szCs w:val="16"/>
      </w:rPr>
      <w:t xml:space="preserve">ENG-001 · Estándares de Ingeniería de Software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2026-08-03T12:20:26.933Z</dcterms:created>
  <dcterms:modified xsi:type="dcterms:W3CDTF">2026-08-03T12:20:26.961Z</dcterms:modified>
</cp:coreProperties>
</file>

<file path=docProps/custom.xml><?xml version="1.0" encoding="utf-8"?>
<Properties xmlns="http://schemas.openxmlformats.org/officeDocument/2006/custom-properties" xmlns:vt="http://schemas.openxmlformats.org/officeDocument/2006/docPropsVTypes"/>
</file>