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b/>
          <w:bCs/>
          <w:color w:val="2E5395"/>
          <w:sz w:val="32"/>
          <w:szCs w:val="32"/>
        </w:rPr>
        <w:t xml:space="preserve">GOB-001</w:t>
      </w:r>
    </w:p>
    <w:p>
      <w:pPr>
        <w:spacing w:after="120" w:before="240"/>
        <w:jc w:val="center"/>
      </w:pPr>
      <w:r>
        <w:rPr>
          <w:b/>
          <w:bCs/>
          <w:color w:val="1F3864"/>
          <w:sz w:val="56"/>
          <w:szCs w:val="56"/>
        </w:rPr>
        <w:t xml:space="preserve">Modelo de Gobierno DevSecOps</w:t>
      </w:r>
    </w:p>
    <w:p>
      <w:pPr>
        <w:spacing w:after="600"/>
        <w:jc w:val="center"/>
      </w:pPr>
      <w:r>
        <w:rPr>
          <w:i/>
          <w:iCs/>
          <w:color w:val="595959"/>
          <w:sz w:val="24"/>
          <w:szCs w:val="24"/>
        </w:rPr>
        <w:t xml:space="preserve">Marco de gobierno, roles, responsabilidades y métricas para la práctica DevSecOps corporativa</w:t>
      </w:r>
    </w:p>
    <w:p>
      <w:pPr>
        <w:spacing w:before="1600"/>
        <w:jc w:val="center"/>
      </w:pPr>
      <w:r>
        <w:rPr>
          <w:color w:val="595959"/>
          <w:sz w:val="22"/>
          <w:szCs w:val="22"/>
        </w:rPr>
        <w:t xml:space="preserve">Versión 1.0  ·  Julio 2026</w:t>
      </w:r>
    </w:p>
    <w:p>
      <w:pPr>
        <w:jc w:val="center"/>
      </w:pPr>
      <w:r>
        <w:rPr>
          <w:b/>
          <w:bCs/>
          <w:color w:val="C00000"/>
          <w:sz w:val="22"/>
          <w:szCs w:val="22"/>
        </w:rPr>
        <w:t xml:space="preserve">Clasificación: Uso Interno</w:t>
      </w:r>
    </w:p>
    <w:p>
      <w:pPr>
        <w:pStyle w:val="Heading1"/>
        <w:pageBreakBefore/>
        <w:spacing w:after="240"/>
      </w:pPr>
      <w:r>
        <w:rPr>
          <w:b/>
          <w:bCs/>
        </w:rPr>
        <w:t xml:space="preserve">1. Control del Documento y Control de Cambios</w:t>
      </w:r>
    </w:p>
    <w:p>
      <w:pPr>
        <w:spacing w:after="200" w:line="276"/>
      </w:pPr>
      <w:r>
        <w:t xml:space="preserve">Este documento establece el marco de gobierno DevSecOps de la organización. Su vigencia, distribución y modificaciones están sujetas al proceso de gestión documental descrito a continuación.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6000"/>
        <w:gridCol w:w="1000"/>
      </w:tblGrid>
      <w:tr>
        <w:trPr>
          <w:tblHeader/>
        </w:trPr>
        <w:tc>
          <w:tcPr>
            <w:tcW w:type="dxa" w:w="23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Campo</w:t>
            </w:r>
          </w:p>
        </w:tc>
        <w:tc>
          <w:tcPr>
            <w:tcW w:type="dxa" w:w="6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Detalle</w:t>
            </w:r>
          </w:p>
        </w:tc>
        <w:tc>
          <w:tcPr>
            <w:tcW w:type="dxa" w:w="1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</w:tr>
      <w:tr>
        <w:tc>
          <w:tcPr>
            <w:tcW w:type="dxa" w:w="23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Código del Documento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GOB-001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</w:tr>
      <w:tr>
        <w:tc>
          <w:tcPr>
            <w:tcW w:type="dxa" w:w="23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Clasificación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Uso Interno — Distribución restringida a personal con rol Dev, Sec, Ops, QA y Product Owner.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</w:tr>
      <w:tr>
        <w:tc>
          <w:tcPr>
            <w:tcW w:type="dxa" w:w="23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Propietario del Documento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Comité de Gobierno DevSecOps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</w:tr>
      <w:tr>
        <w:tc>
          <w:tcPr>
            <w:tcW w:type="dxa" w:w="23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Frecuencia de Revisión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Semestral, o ante cambios regulatorios, de arquitectura o de herramientas de la cadena CI/CD.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</w:tr>
      <w:tr>
        <w:tc>
          <w:tcPr>
            <w:tcW w:type="dxa" w:w="23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Próxima Revisión Programada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2027-01-15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</w:tr>
    </w:tbl>
    <w:p>
      <w:pPr>
        <w:spacing w:after="150" w:before="300"/>
      </w:pPr>
      <w:r>
        <w:rPr>
          <w:b/>
          <w:bCs/>
        </w:rPr>
        <w:t xml:space="preserve">Historial de Versiones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2550"/>
        <w:gridCol w:w="4000"/>
      </w:tblGrid>
      <w:tr>
        <w:trPr>
          <w:tblHeader/>
        </w:trPr>
        <w:tc>
          <w:tcPr>
            <w:tcW w:type="dxa" w:w="1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Versión</w:t>
            </w:r>
          </w:p>
        </w:tc>
        <w:tc>
          <w:tcPr>
            <w:tcW w:type="dxa" w:w="1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Fecha</w:t>
            </w:r>
          </w:p>
        </w:tc>
        <w:tc>
          <w:tcPr>
            <w:tcW w:type="dxa" w:w="25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Autor / Responsable</w:t>
            </w:r>
          </w:p>
        </w:tc>
        <w:tc>
          <w:tcPr>
            <w:tcW w:type="dxa" w:w="4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Descripción del Cambio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0.1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2026-06-02</w:t>
            </w:r>
          </w:p>
        </w:tc>
        <w:tc>
          <w:tcPr>
            <w:tcW w:type="dxa" w:w="25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Oficina de Arquitectura y Seguridad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Borrador inicial para revisión del Comité de Gobierno DevSecOps.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0.5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2026-06-20</w:t>
            </w:r>
          </w:p>
        </w:tc>
        <w:tc>
          <w:tcPr>
            <w:tcW w:type="dxa" w:w="25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Comité de Gobierno DevSecOps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Incorporación de la matriz RACI, gates de calidad y KPIs DORA/seguridad.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1.0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2026-07-15</w:t>
            </w:r>
          </w:p>
        </w:tc>
        <w:tc>
          <w:tcPr>
            <w:tcW w:type="dxa" w:w="25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CISO / Head of Engineering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Aprobación formal. Versión vigente publicada en el repositorio corporativo de políticas.</w:t>
            </w:r>
          </w:p>
        </w:tc>
      </w:tr>
    </w:tbl>
    <w:p>
      <w:pPr>
        <w:pStyle w:val="Heading1"/>
        <w:pageBreakBefore/>
        <w:spacing w:after="240" w:before="480"/>
      </w:pPr>
      <w:r>
        <w:rPr>
          <w:b/>
          <w:bCs/>
        </w:rPr>
        <w:t xml:space="preserve">2. Propósito y Alcance</w:t>
      </w:r>
    </w:p>
    <w:p>
      <w:pPr>
        <w:spacing w:after="200" w:line="276"/>
      </w:pPr>
      <w:r>
        <w:t xml:space="preserve">Este capítulo define el propósito del modelo de gobierno y delimita su alcance dentro de la organización, estableciendo a quién aplica, qué tecnologías cubre y qué resultados busca garantizar.</w:t>
      </w:r>
    </w:p>
    <w:p>
      <w:pPr>
        <w:pStyle w:val="Heading2"/>
        <w:spacing w:after="180" w:before="360"/>
      </w:pPr>
      <w:r>
        <w:rPr>
          <w:b/>
          <w:bCs/>
        </w:rPr>
        <w:t xml:space="preserve">2.1. Objetivos del Gobierno DevSecOps</w:t>
      </w:r>
    </w:p>
    <w:p>
      <w:pPr>
        <w:spacing w:after="200" w:line="276"/>
      </w:pPr>
      <w:r>
        <w:t xml:space="preserve">El Modelo de Gobierno DevSecOps tiene como propósito establecer las reglas, roles y mecanismos de control que permiten integrar la seguridad como una responsabilidad compartida a lo largo de todo el ciclo de vida del software, sin sacrificar la velocidad de entrega. Sus objetivos específicos son: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Calidad verificable: </w:t>
      </w:r>
      <w:r>
        <w:t xml:space="preserve">Garantizar que toda entrega a producción cumpla umbrales mínimos de calidad y seguridad de forma verificable y auditable.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Reducción de riesgo: </w:t>
      </w:r>
      <w:r>
        <w:t xml:space="preserve">Reducir el tiempo medio de exposición a vulnerabilidades mediante gates automatizados y responsables claramente asignados.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Claridad de roles: </w:t>
      </w:r>
      <w:r>
        <w:t xml:space="preserve">Establecer una cadena de responsabilidad (RACI) sin ambigüedades entre Desarrollo, Seguridad, Operaciones, QA y Producto.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Medición objetiva: </w:t>
      </w:r>
      <w:r>
        <w:t xml:space="preserve">Habilitar la toma de decisiones basada en métricas objetivas (DORA y de seguridad), evitando juicios subjetivos sobre el estado de la cadena de entrega.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Gobernanza de excepciones: </w:t>
      </w:r>
      <w:r>
        <w:t xml:space="preserve">Proveer un mecanismo formal y trazable para la gestión de excepciones de riesgo, evitando aprobaciones informales fuera de proceso.</w:t>
      </w:r>
    </w:p>
    <w:p>
      <w:pPr>
        <w:pStyle w:val="Heading2"/>
        <w:spacing w:after="180" w:before="360"/>
      </w:pPr>
      <w:r>
        <w:rPr>
          <w:b/>
          <w:bCs/>
        </w:rPr>
        <w:t xml:space="preserve">2.2. Alcance Organizacional y Tecnológico</w:t>
      </w:r>
    </w:p>
    <w:p>
      <w:pPr>
        <w:spacing w:after="200" w:line="276"/>
      </w:pPr>
      <w:r>
        <w:t xml:space="preserve">Este modelo aplica de forma obligatoria a todos los equipos de desarrollo, plataforma y calidad que participan en la construcción, prueba y despliegue de software para la organización, incluyendo equipos internos, proveedores y contratistas que operen bajo la marca corporativa.</w:t>
      </w:r>
    </w:p>
    <w:p>
      <w:pPr>
        <w:spacing w:after="200" w:line="276"/>
      </w:pPr>
      <w:r>
        <w:t xml:space="preserve">Alcance organizacional: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Todas las unidades de negocio y dominios de producto con presencia de software propio.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Equipos de desarrollo internos, squads multifuncionales y proveedores externos con acceso a los pipelines corporativos.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Funciones de soporte: Seguridad de la Información, Arquitectura, PMO y Cumplimiento.</w:t>
      </w:r>
    </w:p>
    <w:p>
      <w:pPr>
        <w:spacing w:after="200" w:line="276"/>
      </w:pPr>
      <w:r>
        <w:t xml:space="preserve">Alcance tecnológico: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Pipelines de integración y despliegue continuo (CI/CD) sobre cualquier plataforma corporativa homologada.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Repositorios de código fuente, artefactos, imágenes de contenedor e infraestructura como código (IaC).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Ambientes de desarrollo, pruebas, preproducción y producción, en la nube o en instalaciones propias.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Herramientas de escaneo estático (SAST), dinámico (DAST), de composición de software (SCA) y de gestión de secretos.</w:t>
      </w:r>
    </w:p>
    <w:p>
      <w:pPr>
        <w:spacing w:after="200" w:line="276"/>
      </w:pPr>
      <w:r>
        <w:t xml:space="preserve">Quedan fuera del alcance directo de este documento —aunque pueden ser referenciados— los estándares técnicos de codificación segura, la arquitectura de referencia de nube y los planes de respuesta a incidentes, que se rigen por sus políticas específicas (ver sección 8.2).</w:t>
      </w:r>
    </w:p>
    <w:p>
      <w:pPr>
        <w:pStyle w:val="Heading1"/>
        <w:pageBreakBefore/>
        <w:spacing w:after="240" w:before="480"/>
      </w:pPr>
      <w:r>
        <w:rPr>
          <w:b/>
          <w:bCs/>
        </w:rPr>
        <w:t xml:space="preserve">3. Principios Fundamentales de Gobierno</w:t>
      </w:r>
    </w:p>
    <w:p>
      <w:pPr>
        <w:spacing w:after="200" w:line="276"/>
      </w:pPr>
      <w:r>
        <w:t xml:space="preserve">El modelo de gobierno se sostiene sobre tres principios rectores que orientan toda decisión de diseño de proceso, herramienta o excepción. Ante un conflicto entre velocidad de entrega y alguno de estos principios, prevalece el principio, y la excepción debe tramitarse por el proceso formal de la sección 5.2.</w:t>
      </w:r>
    </w:p>
    <w:p>
      <w:pPr>
        <w:pStyle w:val="Heading2"/>
        <w:spacing w:after="180" w:before="360"/>
      </w:pPr>
      <w:r>
        <w:rPr>
          <w:b/>
          <w:bCs/>
        </w:rPr>
        <w:t xml:space="preserve">3.1. Automatización por Defecto</w:t>
      </w:r>
    </w:p>
    <w:p>
      <w:pPr>
        <w:spacing w:after="200" w:line="276"/>
      </w:pPr>
      <w:r>
        <w:t xml:space="preserve">Todo control de calidad y seguridad debe ejecutarse de forma automatizada dentro del pipeline como primera opción. La validación manual es la excepción, no la regla, y debe estar justificada quando la automatización no sea técnicamente viable.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Los gates de calidad y seguridad se ejecutan sin intervención humana salvo en los puntos de aprobación explícitamente definidos en la sección 6.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Ninguna excepción a un control automatizado puede otorgarse verbalmente; requiere registro en el sistema de gestión de excepciones.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La configuración de los pipelines se gestiona como código versionado, revisado por pares y auditable.</w:t>
      </w:r>
    </w:p>
    <w:p>
      <w:pPr>
        <w:pStyle w:val="Heading2"/>
        <w:spacing w:after="180" w:before="360"/>
      </w:pPr>
      <w:r>
        <w:rPr>
          <w:b/>
          <w:bCs/>
        </w:rPr>
        <w:t xml:space="preserve">3.2. Seguridad Desplazada a la Izquierda (Shift-Left)</w:t>
      </w:r>
    </w:p>
    <w:p>
      <w:pPr>
        <w:spacing w:after="200" w:line="276"/>
      </w:pPr>
      <w:r>
        <w:t xml:space="preserve">La seguridad se incorpora desde las etapas más tempranas del ciclo de vida —diseño y codificación— en lugar de validarse únicamente antes del despliegue. Esto reduce el costo de remediación y evita que los hallazgos de seguridad se conviertan en bloqueadores tardíos.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Los requisitos de seguridad se definen junto con los criterios de aceptación de la historia de usuario (Definition of Ready).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Los desarrolladores cuentan con retroalimentación de seguridad en su entorno local o en el primer commit, no solo al final del pipeline.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La figura del Security Champion (sección 4.3) actúa como puente entre el equipo de Seguridad y cada squad de desarrollo.</w:t>
      </w:r>
    </w:p>
    <w:p>
      <w:pPr>
        <w:pStyle w:val="Heading2"/>
        <w:spacing w:after="180" w:before="360"/>
      </w:pPr>
      <w:r>
        <w:rPr>
          <w:b/>
          <w:bCs/>
        </w:rPr>
        <w:t xml:space="preserve">3.3. Transparencia y Trazabilidad Total</w:t>
      </w:r>
    </w:p>
    <w:p>
      <w:pPr>
        <w:spacing w:after="200" w:line="276"/>
      </w:pPr>
      <w:r>
        <w:t xml:space="preserve">Toda decisión relevante del ciclo de vida DevSecOps —aprobaciones, excepciones, resultados de escaneo, despliegues— debe quedar registrada de forma inmutable y accesible para auditoría.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Los resultados de los gates de calidad y seguridad se almacenan y son consultables durante un mínimo de 12 meses.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Cada aprobación de cambio en producción queda vinculada a la identidad del aprobador y a la evidencia técnica que la respalda.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Las métricas del capítulo 7 se publican en un tablero visible para todos los roles definidos en la matriz RACI.</w:t>
      </w:r>
    </w:p>
    <w:p>
      <w:pPr>
        <w:pStyle w:val="Heading1"/>
        <w:pageBreakBefore/>
        <w:spacing w:after="240" w:before="480"/>
      </w:pPr>
      <w:r>
        <w:rPr>
          <w:b/>
          <w:bCs/>
        </w:rPr>
        <w:t xml:space="preserve">4. Estructura Organizacional</w:t>
      </w:r>
    </w:p>
    <w:p>
      <w:pPr>
        <w:spacing w:after="200" w:line="276"/>
      </w:pPr>
      <w:r>
        <w:t xml:space="preserve">Este capítulo describe el órgano de gobierno, los roles operativos y la figura de enlace entre Seguridad y los equipos de desarrollo.</w:t>
      </w:r>
    </w:p>
    <w:p>
      <w:pPr>
        <w:pStyle w:val="Heading2"/>
        <w:spacing w:after="180" w:before="360"/>
      </w:pPr>
      <w:r>
        <w:rPr>
          <w:b/>
          <w:bCs/>
        </w:rPr>
        <w:t xml:space="preserve">4.1. Comité de Gobierno DevSecOps (Composición y Frecuencia)</w:t>
      </w:r>
    </w:p>
    <w:p>
      <w:pPr>
        <w:spacing w:after="200" w:line="276"/>
      </w:pPr>
      <w:r>
        <w:t xml:space="preserve">El Comité de Gobierno DevSecOps es el órgano responsable de supervisar la implementación de este modelo, resolver escalaciones y aprobar excepciones de alto impacto. Se reúne con periodicidad mensual, y de forma extraordinaria ante incidentes críticos de seguridad o cambios fallidos que superen el umbral de Change Failure Rate definido en la sección 7.1.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50"/>
        <w:gridCol w:w="3000"/>
      </w:tblGrid>
      <w:tr>
        <w:trPr>
          <w:tblHeader/>
        </w:trPr>
        <w:tc>
          <w:tcPr>
            <w:tcW w:type="dxa" w:w="2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Rol en el Comité</w:t>
            </w:r>
          </w:p>
        </w:tc>
        <w:tc>
          <w:tcPr>
            <w:tcW w:type="dxa" w:w="35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Representa a</w:t>
            </w:r>
          </w:p>
        </w:tc>
        <w:tc>
          <w:tcPr>
            <w:tcW w:type="dxa" w:w="3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Frecuencia de Participación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Presidente / Sponsor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CTO o Head of Engineering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Mensual (obligatoria)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Responsable de Seguridad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CISO / Seguridad de la Información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Mensual (obligatoria)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Responsable de Plataforma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Ops / SRE / Infraestructura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Mensual (obligatoria)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Responsable de Calidad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QA / Aseguramiento de Calidad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Mensual (obligatoria)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Representantes de Producto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Product Owners de los dominios activos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Mensual (rotativa)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Security Champions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Equipos de desarrollo (uno por squad)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Quincenal / bajo demanda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Secretaría Técnica</w:t>
            </w:r>
          </w:p>
        </w:tc>
        <w:tc>
          <w:tcPr>
            <w:tcW w:type="dxa" w:w="35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PMO / Oficina de Gobierno DevSecOps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Mensual (obligatoria)</w:t>
            </w:r>
          </w:p>
        </w:tc>
      </w:tr>
    </w:tbl>
    <w:p>
      <w:pPr>
        <w:spacing w:after="200" w:line="276"/>
      </w:pPr>
      <w:r>
        <w:t xml:space="preserve">Las decisiones del Comité se adoptan por consenso; en ausencia de consenso, decide el Presidente con voto de calidad, dejando constancia de la disidencia en el acta (ver sección 8.1).</w:t>
      </w:r>
    </w:p>
    <w:p>
      <w:pPr>
        <w:pStyle w:val="Heading2"/>
        <w:spacing w:after="180" w:before="360"/>
      </w:pPr>
      <w:r>
        <w:rPr>
          <w:b/>
          <w:bCs/>
        </w:rPr>
        <w:t xml:space="preserve">4.2. Roles y Responsabilidades (Dev, Sec, Ops, QA, Product Owner)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Desarrollo (Dev): </w:t>
      </w:r>
      <w:r>
        <w:t xml:space="preserve">Diseña, construye y prueba el software; corrige hallazgos de seguridad asignados y mantiene la cobertura de pruebas automatizadas de su componente.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Seguridad (Sec): </w:t>
      </w:r>
      <w:r>
        <w:t xml:space="preserve">Define umbrales de riesgo, configura y mantiene las herramientas de escaneo, realiza triage de hallazgos y aprueba o deniega excepciones de riesgo.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Operaciones (Ops): </w:t>
      </w:r>
      <w:r>
        <w:t xml:space="preserve">Administra la infraestructura, los pipelines y los ambientes de ejecución; ejecuta los despliegues y los procedimientos de rollback.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Calidad (QA): </w:t>
      </w:r>
      <w:r>
        <w:t xml:space="preserve">Valida el cumplimiento de los criterios de aceptación funcionales y no funcionales; es responsable del gate de calidad previo al despliegue.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Product Owner (PO): </w:t>
      </w:r>
      <w:r>
        <w:t xml:space="preserve">Prioriza el backlog, define criterios de aceptación de negocio y es responsable final (Accountable) de la aprobación de cambios en producción.</w:t>
      </w:r>
    </w:p>
    <w:p>
      <w:pPr>
        <w:pStyle w:val="Heading3"/>
        <w:spacing w:after="120" w:before="240"/>
      </w:pPr>
      <w:r>
        <w:rPr>
          <w:b/>
          <w:bCs/>
        </w:rPr>
        <w:t xml:space="preserve">4.3. Figura del "Security Champion" (Definición y Funciones)</w:t>
      </w:r>
    </w:p>
    <w:p>
      <w:pPr>
        <w:spacing w:after="200" w:line="276"/>
      </w:pPr>
      <w:r>
        <w:t xml:space="preserve">El Security Champion es un miembro del equipo de desarrollo, sin dedicación exclusiva a Seguridad, designado como punto de enlace entre su squad y la función central de Seguridad de la Información. No sustituye al equipo de Seguridad, pero amplifica su alcance dentro de cada equipo.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Participa en las ceremonias de planificación para identificar riesgos de seguridad de forma temprana (shift-left).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Realiza el triage de primer nivel de los hallazgos de seguridad reportados en el pipeline de su equipo.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Es el interlocutor del squad ante el Comité de Gobierno DevSecOps para temas de seguridad y excepciones.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Recibe formación trimestral especializada provista por el equipo central de Seguridad.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Dedica entre un 10 % y un 20 % de su tiempo laboral a estas funciones, según se acuerde con su líder de equipo.</w:t>
      </w:r>
    </w:p>
    <w:p>
      <w:pPr>
        <w:pStyle w:val="Heading1"/>
        <w:pageBreakBefore/>
        <w:spacing w:after="240" w:before="480"/>
      </w:pPr>
      <w:r>
        <w:rPr>
          <w:b/>
          <w:bCs/>
        </w:rPr>
        <w:t xml:space="preserve">5. Matriz de Asignación de Responsabilidades (RACI)</w:t>
      </w:r>
    </w:p>
    <w:p>
      <w:pPr>
        <w:spacing w:after="200" w:line="276"/>
      </w:pPr>
      <w:r>
        <w:t xml:space="preserve">Las siguientes matrices asignan responsabilidades específicas para las tres áreas de mayor riesgo del ciclo de vida DevSecOps: la construcción del pipeline, la gestión de vulnerabilidades y la aprobación de cambios en producción.</w:t>
      </w:r>
    </w:p>
    <w:p>
      <w:pPr>
        <w:spacing w:after="300" w:before="120"/>
      </w:pPr>
      <w:r>
        <w:rPr>
          <w:b/>
          <w:bCs/>
        </w:rPr>
        <w:t xml:space="preserve">Leyenda: </w:t>
      </w:r>
      <w:r>
        <w:t xml:space="preserve">R</w:t>
      </w:r>
      <w:r>
        <w:t xml:space="preserve"> = Responsable (ejecuta) · </w:t>
      </w:r>
      <w:r>
        <w:t xml:space="preserve">A</w:t>
      </w:r>
      <w:r>
        <w:t xml:space="preserve"> = Accountable (rinde cuentas, aprueba) · </w:t>
      </w:r>
      <w:r>
        <w:t xml:space="preserve">C</w:t>
      </w:r>
      <w:r>
        <w:t xml:space="preserve"> = Consultado · </w:t>
      </w:r>
      <w:r>
        <w:t xml:space="preserve">I</w:t>
      </w:r>
      <w:r>
        <w:t xml:space="preserve"> = Informado</w:t>
      </w:r>
    </w:p>
    <w:p>
      <w:pPr>
        <w:pStyle w:val="Heading2"/>
        <w:spacing w:after="180" w:before="360"/>
      </w:pPr>
      <w:r>
        <w:rPr>
          <w:b/>
          <w:bCs/>
        </w:rPr>
        <w:t xml:space="preserve">5.1. Construcción de Pipeline y Despliegue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30"/>
        <w:gridCol w:w="1230"/>
        <w:gridCol w:w="1230"/>
        <w:gridCol w:w="1230"/>
        <w:gridCol w:w="1230"/>
      </w:tblGrid>
      <w:tr>
        <w:trPr>
          <w:tblHeader/>
        </w:trPr>
        <w:tc>
          <w:tcPr>
            <w:tcW w:type="dxa" w:w="3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Actividad</w:t>
            </w:r>
          </w:p>
        </w:tc>
        <w:tc>
          <w:tcPr>
            <w:tcW w:type="dxa" w:w="123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Dev</w:t>
            </w:r>
          </w:p>
        </w:tc>
        <w:tc>
          <w:tcPr>
            <w:tcW w:type="dxa" w:w="123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Sec</w:t>
            </w:r>
          </w:p>
        </w:tc>
        <w:tc>
          <w:tcPr>
            <w:tcW w:type="dxa" w:w="123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Ops</w:t>
            </w:r>
          </w:p>
        </w:tc>
        <w:tc>
          <w:tcPr>
            <w:tcW w:type="dxa" w:w="123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QA</w:t>
            </w:r>
          </w:p>
        </w:tc>
        <w:tc>
          <w:tcPr>
            <w:tcW w:type="dxa" w:w="123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PO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Definición de arquitectura del pipeline CI/CD</w:t>
            </w:r>
          </w:p>
        </w:tc>
        <w:tc>
          <w:tcPr>
            <w:tcW w:type="dxa" w:w="123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A</w:t>
            </w:r>
          </w:p>
        </w:tc>
        <w:tc>
          <w:tcPr>
            <w:tcW w:type="dxa" w:w="123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C</w:t>
            </w:r>
          </w:p>
        </w:tc>
        <w:tc>
          <w:tcPr>
            <w:tcW w:type="dxa" w:w="123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R</w:t>
            </w:r>
          </w:p>
        </w:tc>
        <w:tc>
          <w:tcPr>
            <w:tcW w:type="dxa" w:w="123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I</w:t>
            </w:r>
          </w:p>
        </w:tc>
        <w:tc>
          <w:tcPr>
            <w:tcW w:type="dxa" w:w="123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I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Configuración de repositorios y ramas protegidas</w:t>
            </w:r>
          </w:p>
        </w:tc>
        <w:tc>
          <w:tcPr>
            <w:tcW w:type="dxa" w:w="123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R</w:t>
            </w:r>
          </w:p>
        </w:tc>
        <w:tc>
          <w:tcPr>
            <w:tcW w:type="dxa" w:w="123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C</w:t>
            </w:r>
          </w:p>
        </w:tc>
        <w:tc>
          <w:tcPr>
            <w:tcW w:type="dxa" w:w="123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A</w:t>
            </w:r>
          </w:p>
        </w:tc>
        <w:tc>
          <w:tcPr>
            <w:tcW w:type="dxa" w:w="123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I</w:t>
            </w:r>
          </w:p>
        </w:tc>
        <w:tc>
          <w:tcPr>
            <w:tcW w:type="dxa" w:w="123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I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Integración de escáneres SAST/DAST/SCA</w:t>
            </w:r>
          </w:p>
        </w:tc>
        <w:tc>
          <w:tcPr>
            <w:tcW w:type="dxa" w:w="123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C</w:t>
            </w:r>
          </w:p>
        </w:tc>
        <w:tc>
          <w:tcPr>
            <w:tcW w:type="dxa" w:w="123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A</w:t>
            </w:r>
          </w:p>
        </w:tc>
        <w:tc>
          <w:tcPr>
            <w:tcW w:type="dxa" w:w="123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R</w:t>
            </w:r>
          </w:p>
        </w:tc>
        <w:tc>
          <w:tcPr>
            <w:tcW w:type="dxa" w:w="123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I</w:t>
            </w:r>
          </w:p>
        </w:tc>
        <w:tc>
          <w:tcPr>
            <w:tcW w:type="dxa" w:w="123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I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Gestión de secretos y credenciales del pipeline</w:t>
            </w:r>
          </w:p>
        </w:tc>
        <w:tc>
          <w:tcPr>
            <w:tcW w:type="dxa" w:w="123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C</w:t>
            </w:r>
          </w:p>
        </w:tc>
        <w:tc>
          <w:tcPr>
            <w:tcW w:type="dxa" w:w="123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A</w:t>
            </w:r>
          </w:p>
        </w:tc>
        <w:tc>
          <w:tcPr>
            <w:tcW w:type="dxa" w:w="123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R</w:t>
            </w:r>
          </w:p>
        </w:tc>
        <w:tc>
          <w:tcPr>
            <w:tcW w:type="dxa" w:w="123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I</w:t>
            </w:r>
          </w:p>
        </w:tc>
        <w:tc>
          <w:tcPr>
            <w:tcW w:type="dxa" w:w="123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I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Aprovisionamiento de infraestructura como código (IaC)</w:t>
            </w:r>
          </w:p>
        </w:tc>
        <w:tc>
          <w:tcPr>
            <w:tcW w:type="dxa" w:w="123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C</w:t>
            </w:r>
          </w:p>
        </w:tc>
        <w:tc>
          <w:tcPr>
            <w:tcW w:type="dxa" w:w="123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C</w:t>
            </w:r>
          </w:p>
        </w:tc>
        <w:tc>
          <w:tcPr>
            <w:tcW w:type="dxa" w:w="123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R/A</w:t>
            </w:r>
          </w:p>
        </w:tc>
        <w:tc>
          <w:tcPr>
            <w:tcW w:type="dxa" w:w="123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I</w:t>
            </w:r>
          </w:p>
        </w:tc>
        <w:tc>
          <w:tcPr>
            <w:tcW w:type="dxa" w:w="123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I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Despliegue a ambientes no productivos</w:t>
            </w:r>
          </w:p>
        </w:tc>
        <w:tc>
          <w:tcPr>
            <w:tcW w:type="dxa" w:w="123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R</w:t>
            </w:r>
          </w:p>
        </w:tc>
        <w:tc>
          <w:tcPr>
            <w:tcW w:type="dxa" w:w="123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I</w:t>
            </w:r>
          </w:p>
        </w:tc>
        <w:tc>
          <w:tcPr>
            <w:tcW w:type="dxa" w:w="123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A</w:t>
            </w:r>
          </w:p>
        </w:tc>
        <w:tc>
          <w:tcPr>
            <w:tcW w:type="dxa" w:w="123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C</w:t>
            </w:r>
          </w:p>
        </w:tc>
        <w:tc>
          <w:tcPr>
            <w:tcW w:type="dxa" w:w="123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I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Despliegue a producción</w:t>
            </w:r>
          </w:p>
        </w:tc>
        <w:tc>
          <w:tcPr>
            <w:tcW w:type="dxa" w:w="123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C</w:t>
            </w:r>
          </w:p>
        </w:tc>
        <w:tc>
          <w:tcPr>
            <w:tcW w:type="dxa" w:w="123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C</w:t>
            </w:r>
          </w:p>
        </w:tc>
        <w:tc>
          <w:tcPr>
            <w:tcW w:type="dxa" w:w="123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R</w:t>
            </w:r>
          </w:p>
        </w:tc>
        <w:tc>
          <w:tcPr>
            <w:tcW w:type="dxa" w:w="123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C</w:t>
            </w:r>
          </w:p>
        </w:tc>
        <w:tc>
          <w:tcPr>
            <w:tcW w:type="dxa" w:w="123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A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Rollback ante fallo de despliegue</w:t>
            </w:r>
          </w:p>
        </w:tc>
        <w:tc>
          <w:tcPr>
            <w:tcW w:type="dxa" w:w="123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C</w:t>
            </w:r>
          </w:p>
        </w:tc>
        <w:tc>
          <w:tcPr>
            <w:tcW w:type="dxa" w:w="123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I</w:t>
            </w:r>
          </w:p>
        </w:tc>
        <w:tc>
          <w:tcPr>
            <w:tcW w:type="dxa" w:w="123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R/A</w:t>
            </w:r>
          </w:p>
        </w:tc>
        <w:tc>
          <w:tcPr>
            <w:tcW w:type="dxa" w:w="123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I</w:t>
            </w:r>
          </w:p>
        </w:tc>
        <w:tc>
          <w:tcPr>
            <w:tcW w:type="dxa" w:w="123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I</w:t>
            </w:r>
          </w:p>
        </w:tc>
      </w:tr>
    </w:tbl>
    <w:p>
      <w:pPr>
        <w:spacing w:before="300"/>
      </w:pPr>
    </w:p>
    <w:p>
      <w:pPr>
        <w:pStyle w:val="Heading2"/>
        <w:spacing w:after="180" w:before="360"/>
      </w:pPr>
      <w:r>
        <w:rPr>
          <w:b/>
          <w:bCs/>
        </w:rPr>
        <w:t xml:space="preserve">5.2. Gestión de Vulnerabilidades y Excepciones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30"/>
        <w:gridCol w:w="1230"/>
        <w:gridCol w:w="1230"/>
        <w:gridCol w:w="1230"/>
        <w:gridCol w:w="1230"/>
      </w:tblGrid>
      <w:tr>
        <w:trPr>
          <w:tblHeader/>
        </w:trPr>
        <w:tc>
          <w:tcPr>
            <w:tcW w:type="dxa" w:w="3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Actividad</w:t>
            </w:r>
          </w:p>
        </w:tc>
        <w:tc>
          <w:tcPr>
            <w:tcW w:type="dxa" w:w="123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Dev</w:t>
            </w:r>
          </w:p>
        </w:tc>
        <w:tc>
          <w:tcPr>
            <w:tcW w:type="dxa" w:w="123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Sec</w:t>
            </w:r>
          </w:p>
        </w:tc>
        <w:tc>
          <w:tcPr>
            <w:tcW w:type="dxa" w:w="123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Ops</w:t>
            </w:r>
          </w:p>
        </w:tc>
        <w:tc>
          <w:tcPr>
            <w:tcW w:type="dxa" w:w="123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QA</w:t>
            </w:r>
          </w:p>
        </w:tc>
        <w:tc>
          <w:tcPr>
            <w:tcW w:type="dxa" w:w="123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PO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Triage inicial de hallazgos de seguridad</w:t>
            </w:r>
          </w:p>
        </w:tc>
        <w:tc>
          <w:tcPr>
            <w:tcW w:type="dxa" w:w="123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C</w:t>
            </w:r>
          </w:p>
        </w:tc>
        <w:tc>
          <w:tcPr>
            <w:tcW w:type="dxa" w:w="123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R/A</w:t>
            </w:r>
          </w:p>
        </w:tc>
        <w:tc>
          <w:tcPr>
            <w:tcW w:type="dxa" w:w="123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I</w:t>
            </w:r>
          </w:p>
        </w:tc>
        <w:tc>
          <w:tcPr>
            <w:tcW w:type="dxa" w:w="123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I</w:t>
            </w:r>
          </w:p>
        </w:tc>
        <w:tc>
          <w:tcPr>
            <w:tcW w:type="dxa" w:w="123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I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Remediación de vulnerabilidades críticas/altas</w:t>
            </w:r>
          </w:p>
        </w:tc>
        <w:tc>
          <w:tcPr>
            <w:tcW w:type="dxa" w:w="123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R</w:t>
            </w:r>
          </w:p>
        </w:tc>
        <w:tc>
          <w:tcPr>
            <w:tcW w:type="dxa" w:w="123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A</w:t>
            </w:r>
          </w:p>
        </w:tc>
        <w:tc>
          <w:tcPr>
            <w:tcW w:type="dxa" w:w="123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C</w:t>
            </w:r>
          </w:p>
        </w:tc>
        <w:tc>
          <w:tcPr>
            <w:tcW w:type="dxa" w:w="123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I</w:t>
            </w:r>
          </w:p>
        </w:tc>
        <w:tc>
          <w:tcPr>
            <w:tcW w:type="dxa" w:w="123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I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Remediación de vulnerabilidades medias/bajas</w:t>
            </w:r>
          </w:p>
        </w:tc>
        <w:tc>
          <w:tcPr>
            <w:tcW w:type="dxa" w:w="123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R</w:t>
            </w:r>
          </w:p>
        </w:tc>
        <w:tc>
          <w:tcPr>
            <w:tcW w:type="dxa" w:w="123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C</w:t>
            </w:r>
          </w:p>
        </w:tc>
        <w:tc>
          <w:tcPr>
            <w:tcW w:type="dxa" w:w="123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C</w:t>
            </w:r>
          </w:p>
        </w:tc>
        <w:tc>
          <w:tcPr>
            <w:tcW w:type="dxa" w:w="123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I</w:t>
            </w:r>
          </w:p>
        </w:tc>
        <w:tc>
          <w:tcPr>
            <w:tcW w:type="dxa" w:w="123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I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Solicitud de excepción / aceptación de riesgo</w:t>
            </w:r>
          </w:p>
        </w:tc>
        <w:tc>
          <w:tcPr>
            <w:tcW w:type="dxa" w:w="123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R</w:t>
            </w:r>
          </w:p>
        </w:tc>
        <w:tc>
          <w:tcPr>
            <w:tcW w:type="dxa" w:w="123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C</w:t>
            </w:r>
          </w:p>
        </w:tc>
        <w:tc>
          <w:tcPr>
            <w:tcW w:type="dxa" w:w="123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I</w:t>
            </w:r>
          </w:p>
        </w:tc>
        <w:tc>
          <w:tcPr>
            <w:tcW w:type="dxa" w:w="123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I</w:t>
            </w:r>
          </w:p>
        </w:tc>
        <w:tc>
          <w:tcPr>
            <w:tcW w:type="dxa" w:w="123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A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Aprobación de excepción temporal</w:t>
            </w:r>
          </w:p>
        </w:tc>
        <w:tc>
          <w:tcPr>
            <w:tcW w:type="dxa" w:w="123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I</w:t>
            </w:r>
          </w:p>
        </w:tc>
        <w:tc>
          <w:tcPr>
            <w:tcW w:type="dxa" w:w="123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A</w:t>
            </w:r>
          </w:p>
        </w:tc>
        <w:tc>
          <w:tcPr>
            <w:tcW w:type="dxa" w:w="123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I</w:t>
            </w:r>
          </w:p>
        </w:tc>
        <w:tc>
          <w:tcPr>
            <w:tcW w:type="dxa" w:w="123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I</w:t>
            </w:r>
          </w:p>
        </w:tc>
        <w:tc>
          <w:tcPr>
            <w:tcW w:type="dxa" w:w="123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C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Revisión periódica de excepciones vigentes</w:t>
            </w:r>
          </w:p>
        </w:tc>
        <w:tc>
          <w:tcPr>
            <w:tcW w:type="dxa" w:w="123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I</w:t>
            </w:r>
          </w:p>
        </w:tc>
        <w:tc>
          <w:tcPr>
            <w:tcW w:type="dxa" w:w="123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R/A</w:t>
            </w:r>
          </w:p>
        </w:tc>
        <w:tc>
          <w:tcPr>
            <w:tcW w:type="dxa" w:w="123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I</w:t>
            </w:r>
          </w:p>
        </w:tc>
        <w:tc>
          <w:tcPr>
            <w:tcW w:type="dxa" w:w="123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I</w:t>
            </w:r>
          </w:p>
        </w:tc>
        <w:tc>
          <w:tcPr>
            <w:tcW w:type="dxa" w:w="123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C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Comunicación de incidentes de seguridad al Comité</w:t>
            </w:r>
          </w:p>
        </w:tc>
        <w:tc>
          <w:tcPr>
            <w:tcW w:type="dxa" w:w="123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I</w:t>
            </w:r>
          </w:p>
        </w:tc>
        <w:tc>
          <w:tcPr>
            <w:tcW w:type="dxa" w:w="123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R/A</w:t>
            </w:r>
          </w:p>
        </w:tc>
        <w:tc>
          <w:tcPr>
            <w:tcW w:type="dxa" w:w="123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C</w:t>
            </w:r>
          </w:p>
        </w:tc>
        <w:tc>
          <w:tcPr>
            <w:tcW w:type="dxa" w:w="123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I</w:t>
            </w:r>
          </w:p>
        </w:tc>
        <w:tc>
          <w:tcPr>
            <w:tcW w:type="dxa" w:w="123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I</w:t>
            </w:r>
          </w:p>
        </w:tc>
      </w:tr>
    </w:tbl>
    <w:p>
      <w:pPr>
        <w:spacing w:before="300"/>
      </w:pPr>
    </w:p>
    <w:p>
      <w:pPr>
        <w:pStyle w:val="Heading2"/>
        <w:spacing w:after="180" w:before="360"/>
      </w:pPr>
      <w:r>
        <w:rPr>
          <w:b/>
          <w:bCs/>
        </w:rPr>
        <w:t xml:space="preserve">5.3. Aprobación de Cambios en Producción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30"/>
        <w:gridCol w:w="1230"/>
        <w:gridCol w:w="1230"/>
        <w:gridCol w:w="1230"/>
        <w:gridCol w:w="1230"/>
      </w:tblGrid>
      <w:tr>
        <w:trPr>
          <w:tblHeader/>
        </w:trPr>
        <w:tc>
          <w:tcPr>
            <w:tcW w:type="dxa" w:w="3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Actividad</w:t>
            </w:r>
          </w:p>
        </w:tc>
        <w:tc>
          <w:tcPr>
            <w:tcW w:type="dxa" w:w="123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Dev</w:t>
            </w:r>
          </w:p>
        </w:tc>
        <w:tc>
          <w:tcPr>
            <w:tcW w:type="dxa" w:w="123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Sec</w:t>
            </w:r>
          </w:p>
        </w:tc>
        <w:tc>
          <w:tcPr>
            <w:tcW w:type="dxa" w:w="123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Ops</w:t>
            </w:r>
          </w:p>
        </w:tc>
        <w:tc>
          <w:tcPr>
            <w:tcW w:type="dxa" w:w="123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QA</w:t>
            </w:r>
          </w:p>
        </w:tc>
        <w:tc>
          <w:tcPr>
            <w:tcW w:type="dxa" w:w="123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PO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Solicitud de cambio (Change Request)</w:t>
            </w:r>
          </w:p>
        </w:tc>
        <w:tc>
          <w:tcPr>
            <w:tcW w:type="dxa" w:w="123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R</w:t>
            </w:r>
          </w:p>
        </w:tc>
        <w:tc>
          <w:tcPr>
            <w:tcW w:type="dxa" w:w="123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I</w:t>
            </w:r>
          </w:p>
        </w:tc>
        <w:tc>
          <w:tcPr>
            <w:tcW w:type="dxa" w:w="123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C</w:t>
            </w:r>
          </w:p>
        </w:tc>
        <w:tc>
          <w:tcPr>
            <w:tcW w:type="dxa" w:w="123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I</w:t>
            </w:r>
          </w:p>
        </w:tc>
        <w:tc>
          <w:tcPr>
            <w:tcW w:type="dxa" w:w="123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A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Validación técnica y de calidad (QA Gate)</w:t>
            </w:r>
          </w:p>
        </w:tc>
        <w:tc>
          <w:tcPr>
            <w:tcW w:type="dxa" w:w="123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C</w:t>
            </w:r>
          </w:p>
        </w:tc>
        <w:tc>
          <w:tcPr>
            <w:tcW w:type="dxa" w:w="123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I</w:t>
            </w:r>
          </w:p>
        </w:tc>
        <w:tc>
          <w:tcPr>
            <w:tcW w:type="dxa" w:w="123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C</w:t>
            </w:r>
          </w:p>
        </w:tc>
        <w:tc>
          <w:tcPr>
            <w:tcW w:type="dxa" w:w="123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R/A</w:t>
            </w:r>
          </w:p>
        </w:tc>
        <w:tc>
          <w:tcPr>
            <w:tcW w:type="dxa" w:w="123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I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Validación de seguridad (Security Gate)</w:t>
            </w:r>
          </w:p>
        </w:tc>
        <w:tc>
          <w:tcPr>
            <w:tcW w:type="dxa" w:w="123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I</w:t>
            </w:r>
          </w:p>
        </w:tc>
        <w:tc>
          <w:tcPr>
            <w:tcW w:type="dxa" w:w="123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R/A</w:t>
            </w:r>
          </w:p>
        </w:tc>
        <w:tc>
          <w:tcPr>
            <w:tcW w:type="dxa" w:w="123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I</w:t>
            </w:r>
          </w:p>
        </w:tc>
        <w:tc>
          <w:tcPr>
            <w:tcW w:type="dxa" w:w="123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I</w:t>
            </w:r>
          </w:p>
        </w:tc>
        <w:tc>
          <w:tcPr>
            <w:tcW w:type="dxa" w:w="123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I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Aprobación final de despliegue a producción</w:t>
            </w:r>
          </w:p>
        </w:tc>
        <w:tc>
          <w:tcPr>
            <w:tcW w:type="dxa" w:w="123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I</w:t>
            </w:r>
          </w:p>
        </w:tc>
        <w:tc>
          <w:tcPr>
            <w:tcW w:type="dxa" w:w="123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C</w:t>
            </w:r>
          </w:p>
        </w:tc>
        <w:tc>
          <w:tcPr>
            <w:tcW w:type="dxa" w:w="123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C</w:t>
            </w:r>
          </w:p>
        </w:tc>
        <w:tc>
          <w:tcPr>
            <w:tcW w:type="dxa" w:w="123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I</w:t>
            </w:r>
          </w:p>
        </w:tc>
        <w:tc>
          <w:tcPr>
            <w:tcW w:type="dxa" w:w="123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A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Aprobación de cambios de emergencia (hotfix)</w:t>
            </w:r>
          </w:p>
        </w:tc>
        <w:tc>
          <w:tcPr>
            <w:tcW w:type="dxa" w:w="123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C</w:t>
            </w:r>
          </w:p>
        </w:tc>
        <w:tc>
          <w:tcPr>
            <w:tcW w:type="dxa" w:w="123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C</w:t>
            </w:r>
          </w:p>
        </w:tc>
        <w:tc>
          <w:tcPr>
            <w:tcW w:type="dxa" w:w="123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R</w:t>
            </w:r>
          </w:p>
        </w:tc>
        <w:tc>
          <w:tcPr>
            <w:tcW w:type="dxa" w:w="123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I</w:t>
            </w:r>
          </w:p>
        </w:tc>
        <w:tc>
          <w:tcPr>
            <w:tcW w:type="dxa" w:w="123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A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Registro y cierre en el acta de cambios</w:t>
            </w:r>
          </w:p>
        </w:tc>
        <w:tc>
          <w:tcPr>
            <w:tcW w:type="dxa" w:w="123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I</w:t>
            </w:r>
          </w:p>
        </w:tc>
        <w:tc>
          <w:tcPr>
            <w:tcW w:type="dxa" w:w="123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I</w:t>
            </w:r>
          </w:p>
        </w:tc>
        <w:tc>
          <w:tcPr>
            <w:tcW w:type="dxa" w:w="123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R/A</w:t>
            </w:r>
          </w:p>
        </w:tc>
        <w:tc>
          <w:tcPr>
            <w:tcW w:type="dxa" w:w="123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I</w:t>
            </w:r>
          </w:p>
        </w:tc>
        <w:tc>
          <w:tcPr>
            <w:tcW w:type="dxa" w:w="123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C</w:t>
            </w:r>
          </w:p>
        </w:tc>
      </w:tr>
    </w:tbl>
    <w:p>
      <w:pPr>
        <w:pStyle w:val="Heading1"/>
        <w:pageBreakBefore/>
        <w:spacing w:after="240" w:before="480"/>
      </w:pPr>
      <w:r>
        <w:rPr>
          <w:b/>
          <w:bCs/>
        </w:rPr>
        <w:t xml:space="preserve">6. Flujos de Aprobación y Gates de Calidad</w:t>
      </w:r>
    </w:p>
    <w:p>
      <w:pPr>
        <w:spacing w:after="200" w:line="276"/>
      </w:pPr>
      <w:r>
        <w:t xml:space="preserve">Este capítulo define los criterios objetivos que debe cumplir un cambio para avanzar de una fase a la siguiente, y los mecanismos de escalación cuando un gate bloquea el flujo.</w:t>
      </w:r>
    </w:p>
    <w:p>
      <w:pPr>
        <w:pStyle w:val="Heading2"/>
        <w:spacing w:after="180" w:before="360"/>
      </w:pPr>
      <w:r>
        <w:rPr>
          <w:b/>
          <w:bCs/>
        </w:rPr>
        <w:t xml:space="preserve">6.1. Definición de Criterios de Aceptación por Fase (Definition of Ready / Done)</w:t>
      </w:r>
    </w:p>
    <w:p>
      <w:pPr>
        <w:spacing w:after="200" w:line="276"/>
      </w:pPr>
      <w:r>
        <w:t xml:space="preserve">Cada historia de usuario o cambio debe cumplir los criterios de entrada (Definition of Ready) antes de iniciar desarrollo, y los criterios de salida (Definition of Done) antes de considerarse completado y candidato a despliegue.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rPr>
          <w:tblHeader/>
        </w:trPr>
        <w:tc>
          <w:tcPr>
            <w:tcW w:type="dxa" w:w="4675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Definition of Ready (Entrada)</w:t>
            </w:r>
          </w:p>
        </w:tc>
        <w:tc>
          <w:tcPr>
            <w:tcW w:type="dxa" w:w="4675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Definition of Done (Salida)</w:t>
            </w:r>
          </w:p>
        </w:tc>
      </w:tr>
      <w:tr>
        <w:tc>
          <w:tcPr>
            <w:tcW w:type="dxa" w:w="4675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Historia de usuario con criterios de aceptación claros y estimada por el equipo.</w:t>
            </w:r>
          </w:p>
        </w:tc>
        <w:tc>
          <w:tcPr>
            <w:tcW w:type="dxa" w:w="4675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Código fusionado a la rama principal tras revisión por pares (mínimo 1 aprobador).</w:t>
            </w:r>
          </w:p>
        </w:tc>
      </w:tr>
      <w:tr>
        <w:tc>
          <w:tcPr>
            <w:tcW w:type="dxa" w:w="4675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Requisitos de seguridad identificados (clasificación de datos, superficie de ataque).</w:t>
            </w:r>
          </w:p>
        </w:tc>
        <w:tc>
          <w:tcPr>
            <w:tcW w:type="dxa" w:w="4675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Cobertura de pruebas unitarias ≥ 80 % en el componente modificado.</w:t>
            </w:r>
          </w:p>
        </w:tc>
      </w:tr>
      <w:tr>
        <w:tc>
          <w:tcPr>
            <w:tcW w:type="dxa" w:w="4675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Diseño técnico revisado y sin dependencias bloqueantes.</w:t>
            </w:r>
          </w:p>
        </w:tc>
        <w:tc>
          <w:tcPr>
            <w:tcW w:type="dxa" w:w="4675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Escaneo SAST y SCA ejecutado sin hallazgos críticos o altos abiertos.</w:t>
            </w:r>
          </w:p>
        </w:tc>
      </w:tr>
      <w:tr>
        <w:tc>
          <w:tcPr>
            <w:tcW w:type="dxa" w:w="4675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Datos de prueba y ambientes disponibles.</w:t>
            </w:r>
          </w:p>
        </w:tc>
        <w:tc>
          <w:tcPr>
            <w:tcW w:type="dxa" w:w="4675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Pruebas de integración y regresión automatizadas en verde.</w:t>
            </w:r>
          </w:p>
        </w:tc>
      </w:tr>
      <w:tr>
        <w:tc>
          <w:tcPr>
            <w:tcW w:type="dxa" w:w="4675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Umbrales de calidad y seguridad del gate correspondiente conocidos por el equipo.</w:t>
            </w:r>
          </w:p>
        </w:tc>
        <w:tc>
          <w:tcPr>
            <w:tcW w:type="dxa" w:w="4675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Documentación técnica y de despliegue actualizada.</w:t>
            </w:r>
          </w:p>
        </w:tc>
      </w:tr>
      <w:tr>
        <w:tc>
          <w:tcPr>
            <w:tcW w:type="dxa" w:w="4675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  <w:tc>
          <w:tcPr>
            <w:tcW w:type="dxa" w:w="4675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Aprobación registrada según la matriz RACI de la sección 5.3.</w:t>
            </w:r>
          </w:p>
        </w:tc>
      </w:tr>
    </w:tbl>
    <w:p>
      <w:pPr>
        <w:pStyle w:val="Heading2"/>
        <w:spacing w:after="180" w:before="360"/>
      </w:pPr>
      <w:r>
        <w:rPr>
          <w:b/>
          <w:bCs/>
        </w:rPr>
        <w:t xml:space="preserve">6.2. Mecanismos de Escalación y Bloqueo</w:t>
      </w:r>
    </w:p>
    <w:p>
      <w:pPr>
        <w:spacing w:after="200" w:line="276"/>
      </w:pPr>
      <w:r>
        <w:t xml:space="preserve">Cuando un gate de calidad o seguridad bloquea un cambio, se sigue una ruta de escalación estructurada para evitar tanto la parálisis del flujo de entrega como la omisión indebida de controles: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Nivel 1 — Equipo: el squad responsable, junto con su Security Champion, intenta resolver el bloqueo en un plazo máximo de 1 día hábil.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Nivel 2 — Líderes funcionales: si no se resuelve, escala a los líderes de Dev, Sec, Ops o QA involucrados, con plazo máximo de 2 días hábiles.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Nivel 3 — Comité de Gobierno DevSecOps: bloqueos no resueltos en Nivel 2, o que impliquen una excepción de riesgo crítico, se elevan al Comité para resolución en su próxima sesión ordinaria o, si la urgencia lo requiere, en sesión extraordinaria.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Excepción de emergencia: </w:t>
      </w:r>
      <w:r>
        <w:t xml:space="preserve">Un cambio de emergencia (hotfix) puede omitir temporalmente un gate no crítico con aprobación conjunta de Seguridad y del Product Owner, quedando obligado un registro retroactivo y remediación en un plazo máximo de 5 días hábiles.</w:t>
      </w:r>
    </w:p>
    <w:p>
      <w:pPr>
        <w:pStyle w:val="Heading1"/>
        <w:pageBreakBefore/>
        <w:spacing w:after="240" w:before="480"/>
      </w:pPr>
      <w:r>
        <w:rPr>
          <w:b/>
          <w:bCs/>
        </w:rPr>
        <w:t xml:space="preserve">7. Metodología de Medición y KPIs</w:t>
      </w:r>
    </w:p>
    <w:p>
      <w:pPr>
        <w:spacing w:after="200" w:line="276"/>
      </w:pPr>
      <w:r>
        <w:t xml:space="preserve">El desempeño del modelo de gobierno se mide mediante dos familias de indicadores complementarias: las métricas DORA, que evalúan la eficiencia y estabilidad de la entrega de software, y las métricas de seguridad, que evalúan la exposición a riesgo. Ambas se revisan en cada sesión del Comité de Gobierno DevSecOps.</w:t>
      </w:r>
    </w:p>
    <w:p>
      <w:pPr>
        <w:pStyle w:val="Heading2"/>
        <w:spacing w:after="180" w:before="360"/>
      </w:pPr>
      <w:r>
        <w:rPr>
          <w:b/>
          <w:bCs/>
        </w:rPr>
        <w:t xml:space="preserve">7.1. Métricas DORA (Deployment Frequency, Lead Time, MTTR, Change Failure Rate)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750"/>
        <w:gridCol w:w="1750"/>
        <w:gridCol w:w="325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Métrica</w:t>
            </w:r>
          </w:p>
        </w:tc>
        <w:tc>
          <w:tcPr>
            <w:tcW w:type="dxa" w:w="17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Referencia</w:t>
            </w:r>
          </w:p>
        </w:tc>
        <w:tc>
          <w:tcPr>
            <w:tcW w:type="dxa" w:w="17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Objetivo</w:t>
            </w:r>
          </w:p>
        </w:tc>
        <w:tc>
          <w:tcPr>
            <w:tcW w:type="dxa" w:w="32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Descripción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Deployment Frequency</w:t>
            </w:r>
          </w:p>
        </w:tc>
        <w:tc>
          <w:tcPr>
            <w:tcW w:type="dxa" w:w="17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Elite: diario</w:t>
            </w:r>
          </w:p>
        </w:tc>
        <w:tc>
          <w:tcPr>
            <w:tcW w:type="dxa" w:w="17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Meta org.: semanal</w:t>
            </w:r>
          </w:p>
        </w:tc>
        <w:tc>
          <w:tcPr>
            <w:tcW w:type="dxa" w:w="32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Frecuencia con la que se despliega código a producción.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Lead Time for Changes</w:t>
            </w:r>
          </w:p>
        </w:tc>
        <w:tc>
          <w:tcPr>
            <w:tcW w:type="dxa" w:w="17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Elite: &lt; 1 día</w:t>
            </w:r>
          </w:p>
        </w:tc>
        <w:tc>
          <w:tcPr>
            <w:tcW w:type="dxa" w:w="17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Meta org.: &lt; 5 días</w:t>
            </w:r>
          </w:p>
        </w:tc>
        <w:tc>
          <w:tcPr>
            <w:tcW w:type="dxa" w:w="32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Tiempo desde el commit hasta que el cambio corre en producción.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Mean Time to Restore (MTTR)</w:t>
            </w:r>
          </w:p>
        </w:tc>
        <w:tc>
          <w:tcPr>
            <w:tcW w:type="dxa" w:w="17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Elite: &lt; 1 hora</w:t>
            </w:r>
          </w:p>
        </w:tc>
        <w:tc>
          <w:tcPr>
            <w:tcW w:type="dxa" w:w="17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Meta org.: &lt; 24 horas</w:t>
            </w:r>
          </w:p>
        </w:tc>
        <w:tc>
          <w:tcPr>
            <w:tcW w:type="dxa" w:w="32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Tiempo medio para restaurar el servicio tras un incidente.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Change Failure Rate</w:t>
            </w:r>
          </w:p>
        </w:tc>
        <w:tc>
          <w:tcPr>
            <w:tcW w:type="dxa" w:w="17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Elite: 0–15 %</w:t>
            </w:r>
          </w:p>
        </w:tc>
        <w:tc>
          <w:tcPr>
            <w:tcW w:type="dxa" w:w="17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Meta org.: &lt; 15 %</w:t>
            </w:r>
          </w:p>
        </w:tc>
        <w:tc>
          <w:tcPr>
            <w:tcW w:type="dxa" w:w="32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Porcentaje de despliegues que provocan degradación o rollback.</w:t>
            </w:r>
          </w:p>
        </w:tc>
      </w:tr>
    </w:tbl>
    <w:p>
      <w:pPr>
        <w:spacing w:after="200" w:line="276"/>
      </w:pPr>
      <w:r>
        <w:t xml:space="preserve">Estas métricas se calculan de forma automatizada a partir de los eventos del pipeline y del sistema de gestión de incidentes, y se agregan mensualmente por equipo y por dominio de producto.</w:t>
      </w:r>
    </w:p>
    <w:p>
      <w:pPr>
        <w:pStyle w:val="Heading2"/>
        <w:spacing w:after="180" w:before="360"/>
      </w:pPr>
      <w:r>
        <w:rPr>
          <w:b/>
          <w:bCs/>
        </w:rPr>
        <w:t xml:space="preserve">7.2. Métricas de Seguridad (Mean Time to Remediate - MTTRv, Vulnerability Density)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750"/>
        <w:gridCol w:w="1750"/>
        <w:gridCol w:w="325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Métrica</w:t>
            </w:r>
          </w:p>
        </w:tc>
        <w:tc>
          <w:tcPr>
            <w:tcW w:type="dxa" w:w="17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Umbral</w:t>
            </w:r>
          </w:p>
        </w:tc>
        <w:tc>
          <w:tcPr>
            <w:tcW w:type="dxa" w:w="17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Tipo</w:t>
            </w:r>
          </w:p>
        </w:tc>
        <w:tc>
          <w:tcPr>
            <w:tcW w:type="dxa" w:w="32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Descripción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MTTRv — Críticas</w:t>
            </w:r>
          </w:p>
        </w:tc>
        <w:tc>
          <w:tcPr>
            <w:tcW w:type="dxa" w:w="17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≤ 48 horas</w:t>
            </w:r>
          </w:p>
        </w:tc>
        <w:tc>
          <w:tcPr>
            <w:tcW w:type="dxa" w:w="17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Obligatorio</w:t>
            </w:r>
          </w:p>
        </w:tc>
        <w:tc>
          <w:tcPr>
            <w:tcW w:type="dxa" w:w="32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Tiempo medio de remediación de vulnerabilidades críticas.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MTTRv — Altas</w:t>
            </w:r>
          </w:p>
        </w:tc>
        <w:tc>
          <w:tcPr>
            <w:tcW w:type="dxa" w:w="17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≤ 7 días</w:t>
            </w:r>
          </w:p>
        </w:tc>
        <w:tc>
          <w:tcPr>
            <w:tcW w:type="dxa" w:w="17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Obligatorio</w:t>
            </w:r>
          </w:p>
        </w:tc>
        <w:tc>
          <w:tcPr>
            <w:tcW w:type="dxa" w:w="32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Tiempo medio de remediación de vulnerabilidades altas.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MTTRv — Medias</w:t>
            </w:r>
          </w:p>
        </w:tc>
        <w:tc>
          <w:tcPr>
            <w:tcW w:type="dxa" w:w="17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≤ 30 días</w:t>
            </w:r>
          </w:p>
        </w:tc>
        <w:tc>
          <w:tcPr>
            <w:tcW w:type="dxa" w:w="17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Meta</w:t>
            </w:r>
          </w:p>
        </w:tc>
        <w:tc>
          <w:tcPr>
            <w:tcW w:type="dxa" w:w="32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Tiempo medio de remediación de vulnerabilidades medias.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Vulnerability Density</w:t>
            </w:r>
          </w:p>
        </w:tc>
        <w:tc>
          <w:tcPr>
            <w:tcW w:type="dxa" w:w="17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&lt; 2 por KLOC</w:t>
            </w:r>
          </w:p>
        </w:tc>
        <w:tc>
          <w:tcPr>
            <w:tcW w:type="dxa" w:w="17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Meta</w:t>
            </w:r>
          </w:p>
        </w:tc>
        <w:tc>
          <w:tcPr>
            <w:tcW w:type="dxa" w:w="32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Vulnerabilidades activas por cada mil líneas de código.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Cobertura de escaneo SAST/SCA</w:t>
            </w:r>
          </w:p>
        </w:tc>
        <w:tc>
          <w:tcPr>
            <w:tcW w:type="dxa" w:w="17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100 % de pipelines</w:t>
            </w:r>
          </w:p>
        </w:tc>
        <w:tc>
          <w:tcPr>
            <w:tcW w:type="dxa" w:w="17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Obligatorio</w:t>
            </w:r>
          </w:p>
        </w:tc>
        <w:tc>
          <w:tcPr>
            <w:tcW w:type="dxa" w:w="32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Porcentaje de pipelines con escaneo de seguridad habilitado.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Excepciones de riesgo vigentes</w:t>
            </w:r>
          </w:p>
        </w:tc>
        <w:tc>
          <w:tcPr>
            <w:tcW w:type="dxa" w:w="17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&lt; 5 % del backlog</w:t>
            </w:r>
          </w:p>
        </w:tc>
        <w:tc>
          <w:tcPr>
            <w:tcW w:type="dxa" w:w="17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Meta</w:t>
            </w:r>
          </w:p>
        </w:tc>
        <w:tc>
          <w:tcPr>
            <w:tcW w:type="dxa" w:w="32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Proporción de hallazgos bajo excepción temporal aprobada.</w:t>
            </w:r>
          </w:p>
        </w:tc>
      </w:tr>
    </w:tbl>
    <w:p>
      <w:pPr>
        <w:spacing w:after="200" w:line="276"/>
      </w:pPr>
      <w:r>
        <w:t xml:space="preserve">Las métricas marcadas como "Obligatorio" constituyen umbrales de cumplimiento: su incumplimiento sostenido durante dos períodos consecutivos activa automáticamente una revisión en el Comité de Gobierno DevSecOps y puede derivar en la suspensión de despliegues a producción para el equipo o componente afectado.</w:t>
      </w:r>
    </w:p>
    <w:p>
      <w:pPr>
        <w:pStyle w:val="Heading1"/>
        <w:pageBreakBefore/>
        <w:spacing w:after="240" w:before="480"/>
      </w:pPr>
      <w:r>
        <w:rPr>
          <w:b/>
          <w:bCs/>
        </w:rPr>
        <w:t xml:space="preserve">8. Anexos</w:t>
      </w:r>
    </w:p>
    <w:p>
      <w:pPr>
        <w:pStyle w:val="Heading2"/>
        <w:spacing w:after="180" w:before="360"/>
      </w:pPr>
      <w:r>
        <w:rPr>
          <w:b/>
          <w:bCs/>
        </w:rPr>
        <w:t xml:space="preserve">8.1. Estructura del Acta del Comité</w:t>
      </w:r>
    </w:p>
    <w:p>
      <w:pPr>
        <w:spacing w:after="200" w:line="276"/>
      </w:pPr>
      <w:r>
        <w:t xml:space="preserve">Toda sesión del Comité de Gobierno DevSecOps debe documentarse mediante un acta que siga la siguiente estructura mínima, a cargo de la Secretaría Técnica: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50"/>
      </w:tblGrid>
      <w:tr>
        <w:trPr>
          <w:tblHeader/>
        </w:trPr>
        <w:tc>
          <w:tcPr>
            <w:tcW w:type="dxa" w:w="3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Sección</w:t>
            </w:r>
          </w:p>
        </w:tc>
        <w:tc>
          <w:tcPr>
            <w:tcW w:type="dxa" w:w="61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Contenido Mínimo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Encabezado</w:t>
            </w:r>
          </w:p>
        </w:tc>
        <w:tc>
          <w:tcPr>
            <w:tcW w:type="dxa" w:w="6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Fecha, hora, modalidad, número de acta y lista de asistentes con rol.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Seguimiento de acuerdos previos</w:t>
            </w:r>
          </w:p>
        </w:tc>
        <w:tc>
          <w:tcPr>
            <w:tcW w:type="dxa" w:w="6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Estado de las acciones abiertas de la reunión anterior (cumplida, en curso, vencida).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Revisión de KPIs</w:t>
            </w:r>
          </w:p>
        </w:tc>
        <w:tc>
          <w:tcPr>
            <w:tcW w:type="dxa" w:w="6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Tablero DORA y de seguridad del período, con desviaciones respecto a umbrales.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Excepciones de riesgo</w:t>
            </w:r>
          </w:p>
        </w:tc>
        <w:tc>
          <w:tcPr>
            <w:tcW w:type="dxa" w:w="6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Nuevas solicitudes, renovaciones y vencimientos de excepciones de seguridad.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Incidentes y hallazgos relevantes</w:t>
            </w:r>
          </w:p>
        </w:tc>
        <w:tc>
          <w:tcPr>
            <w:tcW w:type="dxa" w:w="6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Resumen de incidentes de seguridad o cambios fallidos ocurridos en el período.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Decisiones y acuerdos</w:t>
            </w:r>
          </w:p>
        </w:tc>
        <w:tc>
          <w:tcPr>
            <w:tcW w:type="dxa" w:w="6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Lista numerada de acuerdos, responsable asignado y fecha compromiso.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Cierre</w:t>
            </w:r>
          </w:p>
        </w:tc>
        <w:tc>
          <w:tcPr>
            <w:tcW w:type="dxa" w:w="6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Fecha de la próxima sesión y firma de la Secretaría Técnica.</w:t>
            </w:r>
          </w:p>
        </w:tc>
      </w:tr>
    </w:tbl>
    <w:p>
      <w:pPr>
        <w:pStyle w:val="Heading2"/>
        <w:spacing w:after="180" w:before="360"/>
      </w:pPr>
      <w:r>
        <w:rPr>
          <w:b/>
          <w:bCs/>
        </w:rPr>
        <w:t xml:space="preserve">8.2. Referencia a Políticas Relacionadas</w:t>
      </w:r>
    </w:p>
    <w:p>
      <w:pPr>
        <w:spacing w:after="200" w:line="276"/>
      </w:pPr>
      <w:r>
        <w:t xml:space="preserve">Este documento se complementa con las siguientes políticas y estándares corporativos, cuya lectura se recomienda para una implementación completa del modelo de gobierno: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Estándar de Codificación Segura y Guías por Lenguaje.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Política de Gestión de Secretos y Credenciales.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Arquitectura de Referencia de Nube e Infraestructura como Código.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Plan de Respuesta a Incidentes de Seguridad de la Información.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Política de Clasificación de Datos y Privacidad.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Procedimiento de Gestión de Cambios (Change Management) corporativo.</w:t>
      </w:r>
    </w:p>
    <w:p>
      <w:pPr>
        <w:pBdr>
          <w:top w:val="single" w:color="BFBFBF" w:sz="4"/>
        </w:pBdr>
        <w:spacing w:before="400"/>
      </w:pPr>
    </w:p>
    <w:p>
      <w:pPr>
        <w:spacing w:before="200"/>
      </w:pPr>
      <w:r>
        <w:rPr>
          <w:i/>
          <w:iCs/>
          <w:color w:val="808080"/>
          <w:sz w:val="18"/>
          <w:szCs w:val="18"/>
        </w:rPr>
        <w:t xml:space="preserve">Fin del documento GOB-001 — Modelo de Gobierno DevSecOps</w:t>
      </w:r>
    </w:p>
    <w:sectPr>
      <w:headerReference w:type="default" r:id="rId7"/>
      <w:footerReference w:type="default" r:id="rId8"/>
      <w:pgSz w:w="12240" w:h="15840" w:orient="portrait"/>
      <w:pgMar w:top="1440" w:right="1350" w:bottom="1440" w:left="13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Página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de </w:t>
    </w:r>
    <w:r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808080"/>
        <w:sz w:val="16"/>
        <w:szCs w:val="16"/>
      </w:rPr>
      <w:t xml:space="preserve">  |  Uso Interno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/>
      </w:pBdr>
      <w:jc w:val="right"/>
    </w:pPr>
    <w:r>
      <w:rPr>
        <w:color w:val="808080"/>
        <w:sz w:val="16"/>
        <w:szCs w:val="16"/>
      </w:rPr>
      <w:t xml:space="preserve">GOB-001 · Modelo de Gobierno DevSecOps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◦"/>
      <w:lvlJc w:val="left"/>
      <w:pPr>
        <w:ind w:left="8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2026-08-03T04:45:53.553Z</dcterms:created>
  <dcterms:modified xsi:type="dcterms:W3CDTF">2026-08-03T04:45:53.570Z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