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b/>
          <w:bCs/>
          <w:color w:val="2E5395"/>
          <w:sz w:val="32"/>
          <w:szCs w:val="32"/>
        </w:rPr>
        <w:t xml:space="preserve">SEC-001</w:t>
      </w:r>
    </w:p>
    <w:p>
      <w:pPr>
        <w:spacing w:after="120" w:before="240"/>
        <w:jc w:val="center"/>
      </w:pPr>
      <w:r>
        <w:rPr>
          <w:b/>
          <w:bCs/>
          <w:color w:val="1F3864"/>
          <w:sz w:val="56"/>
          <w:szCs w:val="56"/>
        </w:rPr>
        <w:t xml:space="preserve">Política de Seguridad DevSecOps</w:t>
      </w:r>
    </w:p>
    <w:p>
      <w:pPr>
        <w:spacing w:after="600"/>
        <w:jc w:val="center"/>
      </w:pPr>
      <w:r>
        <w:rPr>
          <w:i/>
          <w:iCs/>
          <w:color w:val="595959"/>
          <w:sz w:val="24"/>
          <w:szCs w:val="24"/>
        </w:rPr>
        <w:t xml:space="preserve">Marco normativo de seguridad para el ciclo de vida de desarrollo, integración y despliegue</w:t>
      </w:r>
    </w:p>
    <w:p>
      <w:pPr>
        <w:spacing w:before="1600"/>
        <w:jc w:val="center"/>
      </w:pPr>
      <w:r>
        <w:rPr>
          <w:color w:val="595959"/>
          <w:sz w:val="22"/>
          <w:szCs w:val="22"/>
        </w:rPr>
        <w:t xml:space="preserve">Versión 1.0  ·  Julio 2026</w:t>
      </w:r>
    </w:p>
    <w:p>
      <w:pPr>
        <w:jc w:val="center"/>
      </w:pPr>
      <w:r>
        <w:rPr>
          <w:b/>
          <w:bCs/>
          <w:color w:val="C00000"/>
          <w:sz w:val="22"/>
          <w:szCs w:val="22"/>
        </w:rPr>
        <w:t xml:space="preserve">Clasificación: Uso Interno</w:t>
      </w:r>
    </w:p>
    <w:p>
      <w:pPr>
        <w:pStyle w:val="Heading1"/>
        <w:pageBreakBefore/>
        <w:spacing w:after="240"/>
      </w:pPr>
      <w:r>
        <w:rPr>
          <w:b/>
          <w:bCs/>
        </w:rPr>
        <w:t xml:space="preserve">1. Control del Documento y Control de Cambios</w:t>
      </w:r>
    </w:p>
    <w:p>
      <w:pPr>
        <w:spacing w:after="200" w:line="276"/>
      </w:pPr>
      <w:r>
        <w:t xml:space="preserve">Este documento establece la política de seguridad obligatoria para el ciclo de vida de desarrollo, integración y despliegue de software en la organización. Su vigencia, distribución y modificaciones están sujetas al proceso de gestión documental descrito a continuación.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50"/>
        <w:gridCol w:w="7000"/>
      </w:tblGrid>
      <w:tr>
        <w:trPr>
          <w:tblHeader/>
        </w:trPr>
        <w:tc>
          <w:tcPr>
            <w:tcW w:type="dxa" w:w="2350"/>
            <w:shd w:fill="1F3864" w:val="clear"/>
            <w:tcMar>
              <w:top w:type="dxa" w:w="80"/>
              <w:left w:type="dxa" w:w="100"/>
              <w:bottom w:type="dxa" w:w="80"/>
              <w:right w:type="dxa" w:w="100"/>
            </w:tcMar>
            <w:vAlign w:val="center"/>
          </w:tcPr>
          <w:p>
            <w:pPr>
              <w:jc w:val="left"/>
            </w:pPr>
            <w:r>
              <w:rPr>
                <w:b/>
                <w:bCs/>
                <w:color w:val="FFFFFF"/>
              </w:rPr>
              <w:t xml:space="preserve">Campo</w:t>
            </w:r>
          </w:p>
        </w:tc>
        <w:tc>
          <w:tcPr>
            <w:tcW w:type="dxa" w:w="7000"/>
            <w:shd w:fill="1F3864" w:val="clear"/>
            <w:tcMar>
              <w:top w:type="dxa" w:w="80"/>
              <w:left w:type="dxa" w:w="100"/>
              <w:bottom w:type="dxa" w:w="80"/>
              <w:right w:type="dxa" w:w="100"/>
            </w:tcMar>
            <w:vAlign w:val="center"/>
          </w:tcPr>
          <w:p>
            <w:pPr>
              <w:jc w:val="left"/>
            </w:pPr>
            <w:r>
              <w:rPr>
                <w:b/>
                <w:bCs/>
                <w:color w:val="FFFFFF"/>
              </w:rPr>
              <w:t xml:space="preserve">Detalle</w:t>
            </w:r>
          </w:p>
        </w:tc>
      </w:tr>
      <w:tr>
        <w:tc>
          <w:tcPr>
            <w:tcW w:type="dxa" w:w="2350"/>
            <w:shd w:fill="F2F2F2" w:val="clear"/>
            <w:tcMar>
              <w:top w:type="dxa" w:w="80"/>
              <w:left w:type="dxa" w:w="100"/>
              <w:bottom w:type="dxa" w:w="80"/>
              <w:right w:type="dxa" w:w="100"/>
            </w:tcMar>
            <w:vAlign w:val="center"/>
          </w:tcPr>
          <w:p>
            <w:pPr>
              <w:jc w:val="left"/>
            </w:pPr>
            <w:r>
              <w:rPr>
                <w:b/>
                <w:bCs/>
                <w:color w:val="000000"/>
              </w:rPr>
              <w:t xml:space="preserve">Código del Documento</w:t>
            </w:r>
          </w:p>
        </w:tc>
        <w:tc>
          <w:tcPr>
            <w:tcW w:type="dxa" w:w="7000"/>
            <w:tcMar>
              <w:top w:type="dxa" w:w="80"/>
              <w:left w:type="dxa" w:w="100"/>
              <w:bottom w:type="dxa" w:w="80"/>
              <w:right w:type="dxa" w:w="100"/>
            </w:tcMar>
            <w:vAlign w:val="center"/>
          </w:tcPr>
          <w:p>
            <w:pPr>
              <w:jc w:val="left"/>
            </w:pPr>
            <w:r>
              <w:rPr>
                <w:b w:val="false"/>
                <w:bCs w:val="false"/>
                <w:color w:val="000000"/>
              </w:rPr>
              <w:t xml:space="preserve">SEC-001</w:t>
            </w:r>
          </w:p>
        </w:tc>
      </w:tr>
      <w:tr>
        <w:tc>
          <w:tcPr>
            <w:tcW w:type="dxa" w:w="2350"/>
            <w:shd w:fill="F2F2F2" w:val="clear"/>
            <w:tcMar>
              <w:top w:type="dxa" w:w="80"/>
              <w:left w:type="dxa" w:w="100"/>
              <w:bottom w:type="dxa" w:w="80"/>
              <w:right w:type="dxa" w:w="100"/>
            </w:tcMar>
            <w:vAlign w:val="center"/>
          </w:tcPr>
          <w:p>
            <w:pPr>
              <w:jc w:val="left"/>
            </w:pPr>
            <w:r>
              <w:rPr>
                <w:b/>
                <w:bCs/>
                <w:color w:val="000000"/>
              </w:rPr>
              <w:t xml:space="preserve">Clasificación</w:t>
            </w:r>
          </w:p>
        </w:tc>
        <w:tc>
          <w:tcPr>
            <w:tcW w:type="dxa" w:w="7000"/>
            <w:tcMar>
              <w:top w:type="dxa" w:w="80"/>
              <w:left w:type="dxa" w:w="100"/>
              <w:bottom w:type="dxa" w:w="80"/>
              <w:right w:type="dxa" w:w="100"/>
            </w:tcMar>
            <w:vAlign w:val="center"/>
          </w:tcPr>
          <w:p>
            <w:pPr>
              <w:jc w:val="left"/>
            </w:pPr>
            <w:r>
              <w:rPr>
                <w:b w:val="false"/>
                <w:bCs w:val="false"/>
                <w:color w:val="000000"/>
              </w:rPr>
              <w:t xml:space="preserve">Uso Interno — Distribución restringida a Dev, Sec, Ops, QA, Cumplimiento y Auditoría Interna.</w:t>
            </w:r>
          </w:p>
        </w:tc>
      </w:tr>
      <w:tr>
        <w:tc>
          <w:tcPr>
            <w:tcW w:type="dxa" w:w="2350"/>
            <w:shd w:fill="F2F2F2" w:val="clear"/>
            <w:tcMar>
              <w:top w:type="dxa" w:w="80"/>
              <w:left w:type="dxa" w:w="100"/>
              <w:bottom w:type="dxa" w:w="80"/>
              <w:right w:type="dxa" w:w="100"/>
            </w:tcMar>
            <w:vAlign w:val="center"/>
          </w:tcPr>
          <w:p>
            <w:pPr>
              <w:jc w:val="left"/>
            </w:pPr>
            <w:r>
              <w:rPr>
                <w:b/>
                <w:bCs/>
                <w:color w:val="000000"/>
              </w:rPr>
              <w:t xml:space="preserve">Propietario del Documento</w:t>
            </w:r>
          </w:p>
        </w:tc>
        <w:tc>
          <w:tcPr>
            <w:tcW w:type="dxa" w:w="7000"/>
            <w:tcMar>
              <w:top w:type="dxa" w:w="80"/>
              <w:left w:type="dxa" w:w="100"/>
              <w:bottom w:type="dxa" w:w="80"/>
              <w:right w:type="dxa" w:w="100"/>
            </w:tcMar>
            <w:vAlign w:val="center"/>
          </w:tcPr>
          <w:p>
            <w:pPr>
              <w:jc w:val="left"/>
            </w:pPr>
            <w:r>
              <w:rPr>
                <w:b w:val="false"/>
                <w:bCs w:val="false"/>
                <w:color w:val="000000"/>
              </w:rPr>
              <w:t xml:space="preserve">Chief Information Security Officer (CISO)</w:t>
            </w:r>
          </w:p>
        </w:tc>
      </w:tr>
      <w:tr>
        <w:tc>
          <w:tcPr>
            <w:tcW w:type="dxa" w:w="2350"/>
            <w:shd w:fill="F2F2F2" w:val="clear"/>
            <w:tcMar>
              <w:top w:type="dxa" w:w="80"/>
              <w:left w:type="dxa" w:w="100"/>
              <w:bottom w:type="dxa" w:w="80"/>
              <w:right w:type="dxa" w:w="100"/>
            </w:tcMar>
            <w:vAlign w:val="center"/>
          </w:tcPr>
          <w:p>
            <w:pPr>
              <w:jc w:val="left"/>
            </w:pPr>
            <w:r>
              <w:rPr>
                <w:b/>
                <w:bCs/>
                <w:color w:val="000000"/>
              </w:rPr>
              <w:t xml:space="preserve">Frecuencia de Revisión</w:t>
            </w:r>
          </w:p>
        </w:tc>
        <w:tc>
          <w:tcPr>
            <w:tcW w:type="dxa" w:w="7000"/>
            <w:tcMar>
              <w:top w:type="dxa" w:w="80"/>
              <w:left w:type="dxa" w:w="100"/>
              <w:bottom w:type="dxa" w:w="80"/>
              <w:right w:type="dxa" w:w="100"/>
            </w:tcMar>
            <w:vAlign w:val="center"/>
          </w:tcPr>
          <w:p>
            <w:pPr>
              <w:jc w:val="left"/>
            </w:pPr>
            <w:r>
              <w:rPr>
                <w:b w:val="false"/>
                <w:bCs w:val="false"/>
                <w:color w:val="000000"/>
              </w:rPr>
              <w:t xml:space="preserve">Anual, o ante cambios regulatorios, incidentes mayores de seguridad o actualización de estándares referenciados.</w:t>
            </w:r>
          </w:p>
        </w:tc>
      </w:tr>
      <w:tr>
        <w:tc>
          <w:tcPr>
            <w:tcW w:type="dxa" w:w="2350"/>
            <w:shd w:fill="F2F2F2" w:val="clear"/>
            <w:tcMar>
              <w:top w:type="dxa" w:w="80"/>
              <w:left w:type="dxa" w:w="100"/>
              <w:bottom w:type="dxa" w:w="80"/>
              <w:right w:type="dxa" w:w="100"/>
            </w:tcMar>
            <w:vAlign w:val="center"/>
          </w:tcPr>
          <w:p>
            <w:pPr>
              <w:jc w:val="left"/>
            </w:pPr>
            <w:r>
              <w:rPr>
                <w:b/>
                <w:bCs/>
                <w:color w:val="000000"/>
              </w:rPr>
              <w:t xml:space="preserve">Próxima Revisión Programada</w:t>
            </w:r>
          </w:p>
        </w:tc>
        <w:tc>
          <w:tcPr>
            <w:tcW w:type="dxa" w:w="7000"/>
            <w:tcMar>
              <w:top w:type="dxa" w:w="80"/>
              <w:left w:type="dxa" w:w="100"/>
              <w:bottom w:type="dxa" w:w="80"/>
              <w:right w:type="dxa" w:w="100"/>
            </w:tcMar>
            <w:vAlign w:val="center"/>
          </w:tcPr>
          <w:p>
            <w:pPr>
              <w:jc w:val="left"/>
            </w:pPr>
            <w:r>
              <w:rPr>
                <w:b w:val="false"/>
                <w:bCs w:val="false"/>
                <w:color w:val="000000"/>
              </w:rPr>
              <w:t xml:space="preserve">2027-07-28</w:t>
            </w:r>
          </w:p>
        </w:tc>
      </w:tr>
      <w:tr>
        <w:tc>
          <w:tcPr>
            <w:tcW w:type="dxa" w:w="2350"/>
            <w:shd w:fill="F2F2F2" w:val="clear"/>
            <w:tcMar>
              <w:top w:type="dxa" w:w="80"/>
              <w:left w:type="dxa" w:w="100"/>
              <w:bottom w:type="dxa" w:w="80"/>
              <w:right w:type="dxa" w:w="100"/>
            </w:tcMar>
            <w:vAlign w:val="center"/>
          </w:tcPr>
          <w:p>
            <w:pPr>
              <w:jc w:val="left"/>
            </w:pPr>
            <w:r>
              <w:rPr>
                <w:b/>
                <w:bCs/>
                <w:color w:val="000000"/>
              </w:rPr>
              <w:t xml:space="preserve">Incumplimiento</w:t>
            </w:r>
          </w:p>
        </w:tc>
        <w:tc>
          <w:tcPr>
            <w:tcW w:type="dxa" w:w="7000"/>
            <w:tcMar>
              <w:top w:type="dxa" w:w="80"/>
              <w:left w:type="dxa" w:w="100"/>
              <w:bottom w:type="dxa" w:w="80"/>
              <w:right w:type="dxa" w:w="100"/>
            </w:tcMar>
            <w:vAlign w:val="center"/>
          </w:tcPr>
          <w:p>
            <w:pPr>
              <w:jc w:val="left"/>
            </w:pPr>
            <w:r>
              <w:rPr>
                <w:b w:val="false"/>
                <w:bCs w:val="false"/>
                <w:color w:val="000000"/>
              </w:rPr>
              <w:t xml:space="preserve">El incumplimiento de esta política puede derivar en la suspensión de permisos de despliegue y en acciones disciplinarias conforme al reglamento interno.</w:t>
            </w:r>
          </w:p>
        </w:tc>
      </w:tr>
    </w:tbl>
    <w:p>
      <w:pPr>
        <w:spacing w:after="150" w:before="300"/>
      </w:pPr>
      <w:r>
        <w:rPr>
          <w:b/>
          <w:bCs/>
        </w:rPr>
        <w:t xml:space="preserve">Historial de Versiones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2550"/>
        <w:gridCol w:w="4000"/>
      </w:tblGrid>
      <w:tr>
        <w:trPr>
          <w:tblHeader/>
        </w:trPr>
        <w:tc>
          <w:tcPr>
            <w:tcW w:type="dxa" w:w="1400"/>
            <w:shd w:fill="1F3864" w:val="clear"/>
            <w:tcMar>
              <w:top w:type="dxa" w:w="80"/>
              <w:left w:type="dxa" w:w="100"/>
              <w:bottom w:type="dxa" w:w="80"/>
              <w:right w:type="dxa" w:w="100"/>
            </w:tcMar>
            <w:vAlign w:val="center"/>
          </w:tcPr>
          <w:p>
            <w:pPr>
              <w:jc w:val="left"/>
            </w:pPr>
            <w:r>
              <w:rPr>
                <w:b/>
                <w:bCs/>
                <w:color w:val="FFFFFF"/>
              </w:rPr>
              <w:t xml:space="preserve">Versión</w:t>
            </w:r>
          </w:p>
        </w:tc>
        <w:tc>
          <w:tcPr>
            <w:tcW w:type="dxa" w:w="1400"/>
            <w:shd w:fill="1F3864" w:val="clear"/>
            <w:tcMar>
              <w:top w:type="dxa" w:w="80"/>
              <w:left w:type="dxa" w:w="100"/>
              <w:bottom w:type="dxa" w:w="80"/>
              <w:right w:type="dxa" w:w="100"/>
            </w:tcMar>
            <w:vAlign w:val="center"/>
          </w:tcPr>
          <w:p>
            <w:pPr>
              <w:jc w:val="left"/>
            </w:pPr>
            <w:r>
              <w:rPr>
                <w:b/>
                <w:bCs/>
                <w:color w:val="FFFFFF"/>
              </w:rPr>
              <w:t xml:space="preserve">Fecha</w:t>
            </w:r>
          </w:p>
        </w:tc>
        <w:tc>
          <w:tcPr>
            <w:tcW w:type="dxa" w:w="2550"/>
            <w:shd w:fill="1F3864" w:val="clear"/>
            <w:tcMar>
              <w:top w:type="dxa" w:w="80"/>
              <w:left w:type="dxa" w:w="100"/>
              <w:bottom w:type="dxa" w:w="80"/>
              <w:right w:type="dxa" w:w="100"/>
            </w:tcMar>
            <w:vAlign w:val="center"/>
          </w:tcPr>
          <w:p>
            <w:pPr>
              <w:jc w:val="left"/>
            </w:pPr>
            <w:r>
              <w:rPr>
                <w:b/>
                <w:bCs/>
                <w:color w:val="FFFFFF"/>
              </w:rPr>
              <w:t xml:space="preserve">Autor / Responsable</w:t>
            </w:r>
          </w:p>
        </w:tc>
        <w:tc>
          <w:tcPr>
            <w:tcW w:type="dxa" w:w="4000"/>
            <w:shd w:fill="1F3864" w:val="clear"/>
            <w:tcMar>
              <w:top w:type="dxa" w:w="80"/>
              <w:left w:type="dxa" w:w="100"/>
              <w:bottom w:type="dxa" w:w="80"/>
              <w:right w:type="dxa" w:w="100"/>
            </w:tcMar>
            <w:vAlign w:val="center"/>
          </w:tcPr>
          <w:p>
            <w:pPr>
              <w:jc w:val="left"/>
            </w:pPr>
            <w:r>
              <w:rPr>
                <w:b/>
                <w:bCs/>
                <w:color w:val="FFFFFF"/>
              </w:rPr>
              <w:t xml:space="preserve">Descripción del Cambio</w:t>
            </w:r>
          </w:p>
        </w:tc>
      </w:tr>
      <w:tr>
        <w:tc>
          <w:tcPr>
            <w:tcW w:type="dxa" w:w="1400"/>
            <w:tcMar>
              <w:top w:type="dxa" w:w="80"/>
              <w:left w:type="dxa" w:w="100"/>
              <w:bottom w:type="dxa" w:w="80"/>
              <w:right w:type="dxa" w:w="100"/>
            </w:tcMar>
            <w:vAlign w:val="center"/>
          </w:tcPr>
          <w:p>
            <w:pPr>
              <w:jc w:val="left"/>
            </w:pPr>
            <w:r>
              <w:rPr>
                <w:b w:val="false"/>
                <w:bCs w:val="false"/>
                <w:color w:val="000000"/>
              </w:rPr>
              <w:t xml:space="preserve">0.1</w:t>
            </w:r>
          </w:p>
        </w:tc>
        <w:tc>
          <w:tcPr>
            <w:tcW w:type="dxa" w:w="1400"/>
            <w:tcMar>
              <w:top w:type="dxa" w:w="80"/>
              <w:left w:type="dxa" w:w="100"/>
              <w:bottom w:type="dxa" w:w="80"/>
              <w:right w:type="dxa" w:w="100"/>
            </w:tcMar>
            <w:vAlign w:val="center"/>
          </w:tcPr>
          <w:p>
            <w:pPr>
              <w:jc w:val="left"/>
            </w:pPr>
            <w:r>
              <w:rPr>
                <w:b w:val="false"/>
                <w:bCs w:val="false"/>
                <w:color w:val="000000"/>
              </w:rPr>
              <w:t xml:space="preserve">2026-04-14</w:t>
            </w:r>
          </w:p>
        </w:tc>
        <w:tc>
          <w:tcPr>
            <w:tcW w:type="dxa" w:w="2550"/>
            <w:tcMar>
              <w:top w:type="dxa" w:w="80"/>
              <w:left w:type="dxa" w:w="100"/>
              <w:bottom w:type="dxa" w:w="80"/>
              <w:right w:type="dxa" w:w="100"/>
            </w:tcMar>
            <w:vAlign w:val="center"/>
          </w:tcPr>
          <w:p>
            <w:pPr>
              <w:jc w:val="left"/>
            </w:pPr>
            <w:r>
              <w:rPr>
                <w:b w:val="false"/>
                <w:bCs w:val="false"/>
                <w:color w:val="000000"/>
              </w:rPr>
              <w:t xml:space="preserve">Oficina de Seguridad de la Información (CISO)</w:t>
            </w:r>
          </w:p>
        </w:tc>
        <w:tc>
          <w:tcPr>
            <w:tcW w:type="dxa" w:w="4000"/>
            <w:tcMar>
              <w:top w:type="dxa" w:w="80"/>
              <w:left w:type="dxa" w:w="100"/>
              <w:bottom w:type="dxa" w:w="80"/>
              <w:right w:type="dxa" w:w="100"/>
            </w:tcMar>
            <w:vAlign w:val="center"/>
          </w:tcPr>
          <w:p>
            <w:pPr>
              <w:jc w:val="left"/>
            </w:pPr>
            <w:r>
              <w:rPr>
                <w:b w:val="false"/>
                <w:bCs w:val="false"/>
                <w:color w:val="000000"/>
              </w:rPr>
              <w:t xml:space="preserve">Borrador inicial, alineado a PCI DSS v4.0 e ISO 27001:2022.</w:t>
            </w:r>
          </w:p>
        </w:tc>
      </w:tr>
      <w:tr>
        <w:tc>
          <w:tcPr>
            <w:tcW w:type="dxa" w:w="1400"/>
            <w:tcMar>
              <w:top w:type="dxa" w:w="80"/>
              <w:left w:type="dxa" w:w="100"/>
              <w:bottom w:type="dxa" w:w="80"/>
              <w:right w:type="dxa" w:w="100"/>
            </w:tcMar>
            <w:vAlign w:val="center"/>
          </w:tcPr>
          <w:p>
            <w:pPr>
              <w:jc w:val="left"/>
            </w:pPr>
            <w:r>
              <w:rPr>
                <w:b w:val="false"/>
                <w:bCs w:val="false"/>
                <w:color w:val="000000"/>
              </w:rPr>
              <w:t xml:space="preserve">0.7</w:t>
            </w:r>
          </w:p>
        </w:tc>
        <w:tc>
          <w:tcPr>
            <w:tcW w:type="dxa" w:w="1400"/>
            <w:tcMar>
              <w:top w:type="dxa" w:w="80"/>
              <w:left w:type="dxa" w:w="100"/>
              <w:bottom w:type="dxa" w:w="80"/>
              <w:right w:type="dxa" w:w="100"/>
            </w:tcMar>
            <w:vAlign w:val="center"/>
          </w:tcPr>
          <w:p>
            <w:pPr>
              <w:jc w:val="left"/>
            </w:pPr>
            <w:r>
              <w:rPr>
                <w:b w:val="false"/>
                <w:bCs w:val="false"/>
                <w:color w:val="000000"/>
              </w:rPr>
              <w:t xml:space="preserve">2026-05-30</w:t>
            </w:r>
          </w:p>
        </w:tc>
        <w:tc>
          <w:tcPr>
            <w:tcW w:type="dxa" w:w="2550"/>
            <w:tcMar>
              <w:top w:type="dxa" w:w="80"/>
              <w:left w:type="dxa" w:w="100"/>
              <w:bottom w:type="dxa" w:w="80"/>
              <w:right w:type="dxa" w:w="100"/>
            </w:tcMar>
            <w:vAlign w:val="center"/>
          </w:tcPr>
          <w:p>
            <w:pPr>
              <w:jc w:val="left"/>
            </w:pPr>
            <w:r>
              <w:rPr>
                <w:b w:val="false"/>
                <w:bCs w:val="false"/>
                <w:color w:val="000000"/>
              </w:rPr>
              <w:t xml:space="preserve">Comité de Gobierno DevSecOps</w:t>
            </w:r>
          </w:p>
        </w:tc>
        <w:tc>
          <w:tcPr>
            <w:tcW w:type="dxa" w:w="4000"/>
            <w:tcMar>
              <w:top w:type="dxa" w:w="80"/>
              <w:left w:type="dxa" w:w="100"/>
              <w:bottom w:type="dxa" w:w="80"/>
              <w:right w:type="dxa" w:w="100"/>
            </w:tcMar>
            <w:vAlign w:val="center"/>
          </w:tcPr>
          <w:p>
            <w:pPr>
              <w:jc w:val="left"/>
            </w:pPr>
            <w:r>
              <w:rPr>
                <w:b w:val="false"/>
                <w:bCs w:val="false"/>
                <w:color w:val="000000"/>
              </w:rPr>
              <w:t xml:space="preserve">Incorporación de SLA de remediación, clasificación CVSS y umbrales por severidad.</w:t>
            </w:r>
          </w:p>
        </w:tc>
      </w:tr>
      <w:tr>
        <w:tc>
          <w:tcPr>
            <w:tcW w:type="dxa" w:w="1400"/>
            <w:tcMar>
              <w:top w:type="dxa" w:w="80"/>
              <w:left w:type="dxa" w:w="100"/>
              <w:bottom w:type="dxa" w:w="80"/>
              <w:right w:type="dxa" w:w="100"/>
            </w:tcMar>
            <w:vAlign w:val="center"/>
          </w:tcPr>
          <w:p>
            <w:pPr>
              <w:jc w:val="left"/>
            </w:pPr>
            <w:r>
              <w:rPr>
                <w:b w:val="false"/>
                <w:bCs w:val="false"/>
                <w:color w:val="000000"/>
              </w:rPr>
              <w:t xml:space="preserve">1.0</w:t>
            </w:r>
          </w:p>
        </w:tc>
        <w:tc>
          <w:tcPr>
            <w:tcW w:type="dxa" w:w="1400"/>
            <w:tcMar>
              <w:top w:type="dxa" w:w="80"/>
              <w:left w:type="dxa" w:w="100"/>
              <w:bottom w:type="dxa" w:w="80"/>
              <w:right w:type="dxa" w:w="100"/>
            </w:tcMar>
            <w:vAlign w:val="center"/>
          </w:tcPr>
          <w:p>
            <w:pPr>
              <w:jc w:val="left"/>
            </w:pPr>
            <w:r>
              <w:rPr>
                <w:b w:val="false"/>
                <w:bCs w:val="false"/>
                <w:color w:val="000000"/>
              </w:rPr>
              <w:t xml:space="preserve">2026-07-28</w:t>
            </w:r>
          </w:p>
        </w:tc>
        <w:tc>
          <w:tcPr>
            <w:tcW w:type="dxa" w:w="2550"/>
            <w:tcMar>
              <w:top w:type="dxa" w:w="80"/>
              <w:left w:type="dxa" w:w="100"/>
              <w:bottom w:type="dxa" w:w="80"/>
              <w:right w:type="dxa" w:w="100"/>
            </w:tcMar>
            <w:vAlign w:val="center"/>
          </w:tcPr>
          <w:p>
            <w:pPr>
              <w:jc w:val="left"/>
            </w:pPr>
            <w:r>
              <w:rPr>
                <w:b w:val="false"/>
                <w:bCs w:val="false"/>
                <w:color w:val="000000"/>
              </w:rPr>
              <w:t xml:space="preserve">CISO / Comité de Gobierno DevSecOps</w:t>
            </w:r>
          </w:p>
        </w:tc>
        <w:tc>
          <w:tcPr>
            <w:tcW w:type="dxa" w:w="4000"/>
            <w:tcMar>
              <w:top w:type="dxa" w:w="80"/>
              <w:left w:type="dxa" w:w="100"/>
              <w:bottom w:type="dxa" w:w="80"/>
              <w:right w:type="dxa" w:w="100"/>
            </w:tcMar>
            <w:vAlign w:val="center"/>
          </w:tcPr>
          <w:p>
            <w:pPr>
              <w:jc w:val="left"/>
            </w:pPr>
            <w:r>
              <w:rPr>
                <w:b w:val="false"/>
                <w:bCs w:val="false"/>
                <w:color w:val="000000"/>
              </w:rPr>
              <w:t xml:space="preserve">Aprobación formal. Versión vigente publicada en el repositorio corporativo de políticas.</w:t>
            </w:r>
          </w:p>
        </w:tc>
      </w:tr>
    </w:tbl>
    <w:p>
      <w:pPr>
        <w:pStyle w:val="Heading1"/>
        <w:pageBreakBefore/>
        <w:spacing w:after="240" w:before="480"/>
      </w:pPr>
      <w:r>
        <w:rPr>
          <w:b/>
          <w:bCs/>
        </w:rPr>
        <w:t xml:space="preserve">2. Objetivos y Declaración de Intención Ejecutiva</w:t>
      </w:r>
    </w:p>
    <w:p>
      <w:pPr>
        <w:spacing w:after="200" w:line="276"/>
      </w:pPr>
      <w:r>
        <w:t xml:space="preserve">La organización declara que la seguridad de la información es una condición no negociable para la entrega de software, y no una etapa opcional o posterior al desarrollo. Esta política traduce dicho compromiso en reglas concretas, medibles y de cumplimiento obligatorio para todo el ciclo de vida DevSecOps.</w:t>
      </w:r>
    </w:p>
    <w:p>
      <w:pPr>
        <w:spacing w:after="200" w:line="276"/>
      </w:pPr>
      <w:r>
        <w:t xml:space="preserve">Los objetivos específicos de esta política son:</w:t>
      </w:r>
    </w:p>
    <w:p>
      <w:pPr>
        <w:pStyle w:val="ListParagraph"/>
        <w:numPr>
          <w:ilvl w:val="0"/>
          <w:numId w:val="2"/>
        </w:numPr>
        <w:spacing w:after="120"/>
      </w:pPr>
      <w:r>
        <w:rPr>
          <w:b/>
          <w:bCs/>
        </w:rPr>
        <w:t xml:space="preserve">Prevención: </w:t>
      </w:r>
      <w:r>
        <w:t xml:space="preserve">Prevenir la introducción de vulnerabilidades explotables en el software mediante controles automatizados obligatorios en cada etapa del pipeline.</w:t>
      </w:r>
    </w:p>
    <w:p>
      <w:pPr>
        <w:pStyle w:val="ListParagraph"/>
        <w:numPr>
          <w:ilvl w:val="0"/>
          <w:numId w:val="2"/>
        </w:numPr>
        <w:spacing w:after="120"/>
      </w:pPr>
      <w:r>
        <w:rPr>
          <w:b/>
          <w:bCs/>
        </w:rPr>
        <w:t xml:space="preserve">Remediación oportuna: </w:t>
      </w:r>
      <w:r>
        <w:t xml:space="preserve">Garantizar que toda vulnerabilidad detectada se clasifique, priorice y remedie dentro de plazos formalmente establecidos.</w:t>
      </w:r>
    </w:p>
    <w:p>
      <w:pPr>
        <w:pStyle w:val="ListParagraph"/>
        <w:numPr>
          <w:ilvl w:val="0"/>
          <w:numId w:val="2"/>
        </w:numPr>
        <w:spacing w:after="120"/>
      </w:pPr>
      <w:r>
        <w:rPr>
          <w:b/>
          <w:bCs/>
        </w:rPr>
        <w:t xml:space="preserve">Cumplimiento regulatorio: </w:t>
      </w:r>
      <w:r>
        <w:t xml:space="preserve">Asegurar el cumplimiento continuo de los marcos regulatorios y estándares de la industria aplicables a la organización (capítulo 4).</w:t>
      </w:r>
    </w:p>
    <w:p>
      <w:pPr>
        <w:pStyle w:val="ListParagraph"/>
        <w:numPr>
          <w:ilvl w:val="0"/>
          <w:numId w:val="2"/>
        </w:numPr>
        <w:spacing w:after="120"/>
      </w:pPr>
      <w:r>
        <w:rPr>
          <w:b/>
          <w:bCs/>
        </w:rPr>
        <w:t xml:space="preserve">Integridad de la cadena de suministro: </w:t>
      </w:r>
      <w:r>
        <w:t xml:space="preserve">Proteger la integridad de la cadena de suministro de software, desde el código fuente hasta el artefacto desplegado en producción.</w:t>
      </w:r>
    </w:p>
    <w:p>
      <w:pPr>
        <w:pStyle w:val="ListParagraph"/>
        <w:numPr>
          <w:ilvl w:val="0"/>
          <w:numId w:val="2"/>
        </w:numPr>
        <w:spacing w:after="120"/>
      </w:pPr>
      <w:r>
        <w:rPr>
          <w:b/>
          <w:bCs/>
        </w:rPr>
        <w:t xml:space="preserve">Objetividad en la decisión: </w:t>
      </w:r>
      <w:r>
        <w:t xml:space="preserve">Establecer umbrales objetivos y no ambiguos que determinen cuándo un cambio puede o no avanzar hacia producción.</w:t>
      </w:r>
    </w:p>
    <w:p>
      <w:pPr>
        <w:spacing w:after="200" w:line="276"/>
      </w:pPr>
      <w:r>
        <w:t xml:space="preserve">Esta declaración de intención es respaldada por la Dirección Ejecutiva y por el CISO, y constituye la base normativa sobre la cual se auditará el cumplimiento de todos los equipos de ingeniería.</w:t>
      </w:r>
    </w:p>
    <w:p>
      <w:pPr>
        <w:pStyle w:val="Heading1"/>
        <w:pageBreakBefore/>
        <w:spacing w:after="240" w:before="480"/>
      </w:pPr>
      <w:r>
        <w:rPr>
          <w:b/>
          <w:bCs/>
        </w:rPr>
        <w:t xml:space="preserve">3. Alcance y Aplicabilidad</w:t>
      </w:r>
    </w:p>
    <w:p>
      <w:pPr>
        <w:spacing w:after="200" w:line="276"/>
      </w:pPr>
      <w:r>
        <w:t xml:space="preserve">Esta política aplica de forma obligatoria y sin excepción a:</w:t>
      </w:r>
    </w:p>
    <w:p>
      <w:pPr>
        <w:pStyle w:val="ListParagraph"/>
        <w:numPr>
          <w:ilvl w:val="0"/>
          <w:numId w:val="2"/>
        </w:numPr>
        <w:spacing w:after="120"/>
      </w:pPr>
      <w:r>
        <w:t xml:space="preserve">Todo el código fuente propio, desarrollado por equipos internos o por proveedores externos bajo contrato, que se ejecute en infraestructura de la organización o en nombre de esta.</w:t>
      </w:r>
    </w:p>
    <w:p>
      <w:pPr>
        <w:pStyle w:val="ListParagraph"/>
        <w:numPr>
          <w:ilvl w:val="0"/>
          <w:numId w:val="2"/>
        </w:numPr>
        <w:spacing w:after="120"/>
      </w:pPr>
      <w:r>
        <w:t xml:space="preserve">Todos los pipelines de integración y despliegue continuo (CI/CD), independientemente de la plataforma cloud o del ambiente de destino.</w:t>
      </w:r>
    </w:p>
    <w:p>
      <w:pPr>
        <w:pStyle w:val="ListParagraph"/>
        <w:numPr>
          <w:ilvl w:val="0"/>
          <w:numId w:val="2"/>
        </w:numPr>
        <w:spacing w:after="120"/>
      </w:pPr>
      <w:r>
        <w:t xml:space="preserve">Toda dependencia de terceros, librería de código abierto, imagen de contenedor base y componente de infraestructura como código utilizado en un sistema productivo.</w:t>
      </w:r>
    </w:p>
    <w:p>
      <w:pPr>
        <w:pStyle w:val="ListParagraph"/>
        <w:numPr>
          <w:ilvl w:val="0"/>
          <w:numId w:val="2"/>
        </w:numPr>
        <w:spacing w:after="120"/>
      </w:pPr>
      <w:r>
        <w:t xml:space="preserve">Todos los ambientes del ciclo de vida: desarrollo, pruebas, preproducción y producción, con umbrales diferenciados según se detalla en el capítulo 6 y el anexo 8.1.</w:t>
      </w:r>
    </w:p>
    <w:p>
      <w:pPr>
        <w:pStyle w:val="ListParagraph"/>
        <w:numPr>
          <w:ilvl w:val="0"/>
          <w:numId w:val="2"/>
        </w:numPr>
        <w:spacing w:after="120"/>
      </w:pPr>
      <w:r>
        <w:t xml:space="preserve">Todo el personal con permisos de escritura sobre repositorios de código, pipelines o infraestructura, incluyendo personal de Dev, Sec, Ops, QA y proveedores externos con acceso equivalente.</w:t>
      </w:r>
    </w:p>
    <w:p>
      <w:pPr>
        <w:spacing w:after="200" w:line="276"/>
      </w:pPr>
      <w:r>
        <w:t xml:space="preserve">Quedan explícitamente fuera del alcance directo de este documento los sistemas heredados declarados en proceso de retiro (ver matriz de obsolescencia tecnológica, documento ARC-001), para los cuales aplica un plan de mitigación compensatorio aprobado por el CISO, en lugar del cumplimiento estricto de esta política.</w:t>
      </w:r>
    </w:p>
    <w:p>
      <w:pPr>
        <w:pStyle w:val="Heading1"/>
        <w:pageBreakBefore/>
        <w:spacing w:after="240" w:before="480"/>
      </w:pPr>
      <w:r>
        <w:rPr>
          <w:b/>
          <w:bCs/>
        </w:rPr>
        <w:t xml:space="preserve">4. Marco de Cumplimiento Regulatorio y Estándares (PCI DSS v4.0, ISO 27001, NIST SP 800-53)</w:t>
      </w:r>
    </w:p>
    <w:p>
      <w:pPr>
        <w:spacing w:after="200" w:line="276"/>
      </w:pPr>
      <w:r>
        <w:t xml:space="preserve">Esta política se diseñó para satisfacer simultáneamente los requisitos de los tres marcos regulatorios y de estándares con mayor relevancia para la organización. La siguiente tabla mapea cada estándar con los requisitos específicos que esta política contribuye a satisfacer.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100"/>
        <w:gridCol w:w="2900"/>
        <w:gridCol w:w="4350"/>
      </w:tblGrid>
      <w:tr>
        <w:trPr>
          <w:tblHeader/>
        </w:trPr>
        <w:tc>
          <w:tcPr>
            <w:tcW w:type="dxa" w:w="2100"/>
            <w:shd w:fill="1F3864" w:val="clear"/>
            <w:tcMar>
              <w:top w:type="dxa" w:w="80"/>
              <w:left w:type="dxa" w:w="100"/>
              <w:bottom w:type="dxa" w:w="80"/>
              <w:right w:type="dxa" w:w="100"/>
            </w:tcMar>
            <w:vAlign w:val="center"/>
          </w:tcPr>
          <w:p>
            <w:pPr>
              <w:jc w:val="left"/>
            </w:pPr>
            <w:r>
              <w:rPr>
                <w:b/>
                <w:bCs/>
                <w:color w:val="FFFFFF"/>
              </w:rPr>
              <w:t xml:space="preserve">Estándar</w:t>
            </w:r>
          </w:p>
        </w:tc>
        <w:tc>
          <w:tcPr>
            <w:tcW w:type="dxa" w:w="2900"/>
            <w:shd w:fill="1F3864" w:val="clear"/>
            <w:tcMar>
              <w:top w:type="dxa" w:w="80"/>
              <w:left w:type="dxa" w:w="100"/>
              <w:bottom w:type="dxa" w:w="80"/>
              <w:right w:type="dxa" w:w="100"/>
            </w:tcMar>
            <w:vAlign w:val="center"/>
          </w:tcPr>
          <w:p>
            <w:pPr>
              <w:jc w:val="left"/>
            </w:pPr>
            <w:r>
              <w:rPr>
                <w:b/>
                <w:bCs/>
                <w:color w:val="FFFFFF"/>
              </w:rPr>
              <w:t xml:space="preserve">Enfoque</w:t>
            </w:r>
          </w:p>
        </w:tc>
        <w:tc>
          <w:tcPr>
            <w:tcW w:type="dxa" w:w="4350"/>
            <w:shd w:fill="1F3864" w:val="clear"/>
            <w:tcMar>
              <w:top w:type="dxa" w:w="80"/>
              <w:left w:type="dxa" w:w="100"/>
              <w:bottom w:type="dxa" w:w="80"/>
              <w:right w:type="dxa" w:w="100"/>
            </w:tcMar>
            <w:vAlign w:val="center"/>
          </w:tcPr>
          <w:p>
            <w:pPr>
              <w:jc w:val="left"/>
            </w:pPr>
            <w:r>
              <w:rPr>
                <w:b/>
                <w:bCs/>
                <w:color w:val="FFFFFF"/>
              </w:rPr>
              <w:t xml:space="preserve">Requisitos Cubiertos por esta Política</w:t>
            </w:r>
          </w:p>
        </w:tc>
      </w:tr>
      <w:tr>
        <w:tc>
          <w:tcPr>
            <w:tcW w:type="dxa" w:w="2100"/>
            <w:shd w:fill="FFFFFF" w:val="clear"/>
            <w:tcMar>
              <w:top w:type="dxa" w:w="80"/>
              <w:left w:type="dxa" w:w="100"/>
              <w:bottom w:type="dxa" w:w="80"/>
              <w:right w:type="dxa" w:w="100"/>
            </w:tcMar>
            <w:vAlign w:val="center"/>
          </w:tcPr>
          <w:p>
            <w:pPr>
              <w:jc w:val="left"/>
            </w:pPr>
            <w:r>
              <w:rPr>
                <w:b w:val="false"/>
                <w:bCs w:val="false"/>
                <w:color w:val="000000"/>
              </w:rPr>
              <w:t xml:space="preserve">PCI DSS v4.0</w:t>
            </w:r>
          </w:p>
        </w:tc>
        <w:tc>
          <w:tcPr>
            <w:tcW w:type="dxa" w:w="2900"/>
            <w:shd w:fill="FFFFFF" w:val="clear"/>
            <w:tcMar>
              <w:top w:type="dxa" w:w="80"/>
              <w:left w:type="dxa" w:w="100"/>
              <w:bottom w:type="dxa" w:w="80"/>
              <w:right w:type="dxa" w:w="100"/>
            </w:tcMar>
            <w:vAlign w:val="center"/>
          </w:tcPr>
          <w:p>
            <w:pPr>
              <w:jc w:val="left"/>
            </w:pPr>
            <w:r>
              <w:rPr>
                <w:b w:val="false"/>
                <w:bCs w:val="false"/>
                <w:color w:val="000000"/>
              </w:rPr>
              <w:t xml:space="preserve">Protección de datos de titulares de tarjetas de pago.</w:t>
            </w:r>
          </w:p>
        </w:tc>
        <w:tc>
          <w:tcPr>
            <w:tcW w:type="dxa" w:w="4350"/>
            <w:shd w:fill="FFFFFF" w:val="clear"/>
            <w:tcMar>
              <w:top w:type="dxa" w:w="80"/>
              <w:left w:type="dxa" w:w="100"/>
              <w:bottom w:type="dxa" w:w="80"/>
              <w:right w:type="dxa" w:w="100"/>
            </w:tcMar>
            <w:vAlign w:val="center"/>
          </w:tcPr>
          <w:p>
            <w:pPr>
              <w:jc w:val="left"/>
            </w:pPr>
            <w:r>
              <w:rPr>
                <w:b w:val="false"/>
                <w:bCs w:val="false"/>
                <w:color w:val="000000"/>
              </w:rPr>
              <w:t xml:space="preserve">Req. 6 (desarrollo y mantenimiento de sistemas seguros), Req. 11 (pruebas de seguridad periódicas), Req. 6.3 (gestión de vulnerabilidades).</w:t>
            </w:r>
          </w:p>
        </w:tc>
      </w:tr>
      <w:tr>
        <w:tc>
          <w:tcPr>
            <w:tcW w:type="dxa" w:w="2100"/>
            <w:shd w:fill="F2F2F2" w:val="clear"/>
            <w:tcMar>
              <w:top w:type="dxa" w:w="80"/>
              <w:left w:type="dxa" w:w="100"/>
              <w:bottom w:type="dxa" w:w="80"/>
              <w:right w:type="dxa" w:w="100"/>
            </w:tcMar>
            <w:vAlign w:val="center"/>
          </w:tcPr>
          <w:p>
            <w:pPr>
              <w:jc w:val="left"/>
            </w:pPr>
            <w:r>
              <w:rPr>
                <w:b w:val="false"/>
                <w:bCs w:val="false"/>
                <w:color w:val="000000"/>
              </w:rPr>
              <w:t xml:space="preserve">ISO/IEC 27001:2022</w:t>
            </w:r>
          </w:p>
        </w:tc>
        <w:tc>
          <w:tcPr>
            <w:tcW w:type="dxa" w:w="2900"/>
            <w:shd w:fill="F2F2F2" w:val="clear"/>
            <w:tcMar>
              <w:top w:type="dxa" w:w="80"/>
              <w:left w:type="dxa" w:w="100"/>
              <w:bottom w:type="dxa" w:w="80"/>
              <w:right w:type="dxa" w:w="100"/>
            </w:tcMar>
            <w:vAlign w:val="center"/>
          </w:tcPr>
          <w:p>
            <w:pPr>
              <w:jc w:val="left"/>
            </w:pPr>
            <w:r>
              <w:rPr>
                <w:b w:val="false"/>
                <w:bCs w:val="false"/>
                <w:color w:val="000000"/>
              </w:rPr>
              <w:t xml:space="preserve">Sistema de Gestión de Seguridad de la Información (SGSI).</w:t>
            </w:r>
          </w:p>
        </w:tc>
        <w:tc>
          <w:tcPr>
            <w:tcW w:type="dxa" w:w="4350"/>
            <w:shd w:fill="F2F2F2" w:val="clear"/>
            <w:tcMar>
              <w:top w:type="dxa" w:w="80"/>
              <w:left w:type="dxa" w:w="100"/>
              <w:bottom w:type="dxa" w:w="80"/>
              <w:right w:type="dxa" w:w="100"/>
            </w:tcMar>
            <w:vAlign w:val="center"/>
          </w:tcPr>
          <w:p>
            <w:pPr>
              <w:jc w:val="left"/>
            </w:pPr>
            <w:r>
              <w:rPr>
                <w:b w:val="false"/>
                <w:bCs w:val="false"/>
                <w:color w:val="000000"/>
              </w:rPr>
              <w:t xml:space="preserve">Anexo A.8.25–A.8.29 (ciclo de vida de desarrollo seguro, pruebas de seguridad, gestión de cambios).</w:t>
            </w:r>
          </w:p>
        </w:tc>
      </w:tr>
      <w:tr>
        <w:tc>
          <w:tcPr>
            <w:tcW w:type="dxa" w:w="2100"/>
            <w:shd w:fill="FFFFFF" w:val="clear"/>
            <w:tcMar>
              <w:top w:type="dxa" w:w="80"/>
              <w:left w:type="dxa" w:w="100"/>
              <w:bottom w:type="dxa" w:w="80"/>
              <w:right w:type="dxa" w:w="100"/>
            </w:tcMar>
            <w:vAlign w:val="center"/>
          </w:tcPr>
          <w:p>
            <w:pPr>
              <w:jc w:val="left"/>
            </w:pPr>
            <w:r>
              <w:rPr>
                <w:b w:val="false"/>
                <w:bCs w:val="false"/>
                <w:color w:val="000000"/>
              </w:rPr>
              <w:t xml:space="preserve">NIST SP 800-53 Rev. 5</w:t>
            </w:r>
          </w:p>
        </w:tc>
        <w:tc>
          <w:tcPr>
            <w:tcW w:type="dxa" w:w="2900"/>
            <w:shd w:fill="FFFFFF" w:val="clear"/>
            <w:tcMar>
              <w:top w:type="dxa" w:w="80"/>
              <w:left w:type="dxa" w:w="100"/>
              <w:bottom w:type="dxa" w:w="80"/>
              <w:right w:type="dxa" w:w="100"/>
            </w:tcMar>
            <w:vAlign w:val="center"/>
          </w:tcPr>
          <w:p>
            <w:pPr>
              <w:jc w:val="left"/>
            </w:pPr>
            <w:r>
              <w:rPr>
                <w:b w:val="false"/>
                <w:bCs w:val="false"/>
                <w:color w:val="000000"/>
              </w:rPr>
              <w:t xml:space="preserve">Catálogo de controles de seguridad y privacidad para sistemas federales.</w:t>
            </w:r>
          </w:p>
        </w:tc>
        <w:tc>
          <w:tcPr>
            <w:tcW w:type="dxa" w:w="4350"/>
            <w:shd w:fill="FFFFFF" w:val="clear"/>
            <w:tcMar>
              <w:top w:type="dxa" w:w="80"/>
              <w:left w:type="dxa" w:w="100"/>
              <w:bottom w:type="dxa" w:w="80"/>
              <w:right w:type="dxa" w:w="100"/>
            </w:tcMar>
            <w:vAlign w:val="center"/>
          </w:tcPr>
          <w:p>
            <w:pPr>
              <w:jc w:val="left"/>
            </w:pPr>
            <w:r>
              <w:rPr>
                <w:b w:val="false"/>
                <w:bCs w:val="false"/>
                <w:color w:val="000000"/>
              </w:rPr>
              <w:t xml:space="preserve">Familias SA (Adquisición de Sistemas y Servicios), RA (Evaluación de Riesgos), SI (Integridad de Sistemas e Información).</w:t>
            </w:r>
          </w:p>
        </w:tc>
      </w:tr>
    </w:tbl>
    <w:p>
      <w:pPr>
        <w:spacing w:after="200" w:line="276"/>
      </w:pPr>
      <w:r>
        <w:t xml:space="preserve">La trazabilidad detallada control por control se mantiene en el repositorio de cumplimiento y se presenta a Auditoría Interna en cada ciclo de revisión. Cualquier hallazgo de auditoría relacionado con estos estándares se gestiona como una excepción de riesgo conforme al proceso descrito en el documento GOB-001, sección 5.2.</w:t>
      </w:r>
    </w:p>
    <w:p>
      <w:pPr>
        <w:pStyle w:val="Heading1"/>
        <w:pageBreakBefore/>
        <w:spacing w:after="240" w:before="480"/>
      </w:pPr>
      <w:r>
        <w:rPr>
          <w:b/>
          <w:bCs/>
        </w:rPr>
        <w:t xml:space="preserve">5. Políticas Principales de Seguridad en Desarrollo</w:t>
      </w:r>
    </w:p>
    <w:p>
      <w:pPr>
        <w:spacing w:after="200" w:line="276"/>
      </w:pPr>
      <w:r>
        <w:t xml:space="preserve">Este capítulo establece las cuatro políticas obligatorias que rigen la seguridad del código y sus dependencias antes de cualquier despliegue.</w:t>
      </w:r>
    </w:p>
    <w:p>
      <w:pPr>
        <w:pStyle w:val="Heading2"/>
        <w:spacing w:after="180" w:before="360"/>
      </w:pPr>
      <w:r>
        <w:rPr>
          <w:b/>
          <w:bCs/>
        </w:rPr>
        <w:t xml:space="preserve">5.1. Política de Desarrollo Seguro y Codificación</w:t>
      </w:r>
    </w:p>
    <w:p>
      <w:pPr>
        <w:spacing w:after="200" w:line="276"/>
      </w:pPr>
      <w:r>
        <w:t xml:space="preserve">Todo desarrollo debe seguir prácticas de codificación segura alineadas a los estándares OWASP ASVS y CWE Top 25, aplicadas de forma consistente en todos los lenguajes utilizados en la organización.</w:t>
      </w:r>
    </w:p>
    <w:p>
      <w:pPr>
        <w:pStyle w:val="ListParagraph"/>
        <w:numPr>
          <w:ilvl w:val="0"/>
          <w:numId w:val="2"/>
        </w:numPr>
        <w:spacing w:after="120"/>
      </w:pPr>
      <w:r>
        <w:t xml:space="preserve">Toda entrada de usuario se trata como no confiable y se valida y sanitiza antes de su procesamiento.</w:t>
      </w:r>
    </w:p>
    <w:p>
      <w:pPr>
        <w:pStyle w:val="ListParagraph"/>
        <w:numPr>
          <w:ilvl w:val="0"/>
          <w:numId w:val="2"/>
        </w:numPr>
        <w:spacing w:after="120"/>
      </w:pPr>
      <w:r>
        <w:t xml:space="preserve">La autenticación y autorización se implementan mediante los servicios centralizados de identidad; queda prohibido implementar mecanismos propios de autenticación.</w:t>
      </w:r>
    </w:p>
    <w:p>
      <w:pPr>
        <w:pStyle w:val="ListParagraph"/>
        <w:numPr>
          <w:ilvl w:val="0"/>
          <w:numId w:val="2"/>
        </w:numPr>
        <w:spacing w:after="120"/>
      </w:pPr>
      <w:r>
        <w:t xml:space="preserve">El manejo de errores no debe exponer información sensible de la aplicación, la infraestructura o la pila tecnológica.</w:t>
      </w:r>
    </w:p>
    <w:p>
      <w:pPr>
        <w:pStyle w:val="ListParagraph"/>
        <w:numPr>
          <w:ilvl w:val="0"/>
          <w:numId w:val="2"/>
        </w:numPr>
        <w:spacing w:after="120"/>
      </w:pPr>
      <w:r>
        <w:t xml:space="preserve">Toda revisión de código (Merge Request) debe incluir de forma explícita la verificación de criterios de seguridad, no solo funcionales.</w:t>
      </w:r>
    </w:p>
    <w:p>
      <w:pPr>
        <w:pStyle w:val="Heading2"/>
        <w:spacing w:after="180" w:before="360"/>
      </w:pPr>
      <w:r>
        <w:rPr>
          <w:b/>
          <w:bCs/>
        </w:rPr>
        <w:t xml:space="preserve">5.2. Política de Análisis de Código Estático y Dinámico (SAST / DAST)</w:t>
      </w:r>
    </w:p>
    <w:p>
      <w:pPr>
        <w:spacing w:after="200" w:line="276"/>
      </w:pPr>
      <w:r>
        <w:t xml:space="preserve">Todo pipeline de integración continua debe ejecutar de forma automatizada un análisis estático (SAST) en cada commit a la rama principal, y un análisis dinámico (DAST) previo a cada despliegue a preproducción y producción.</w:t>
      </w:r>
    </w:p>
    <w:p>
      <w:pPr>
        <w:pStyle w:val="ListParagraph"/>
        <w:numPr>
          <w:ilvl w:val="0"/>
          <w:numId w:val="2"/>
        </w:numPr>
        <w:spacing w:after="120"/>
      </w:pPr>
      <w:r>
        <w:t xml:space="preserve">El análisis SAST se ejecuta sobre el 100 % del código propio antes de permitir la fusión a la rama principal.</w:t>
      </w:r>
    </w:p>
    <w:p>
      <w:pPr>
        <w:pStyle w:val="ListParagraph"/>
        <w:numPr>
          <w:ilvl w:val="0"/>
          <w:numId w:val="2"/>
        </w:numPr>
        <w:spacing w:after="120"/>
      </w:pPr>
      <w:r>
        <w:t xml:space="preserve">El análisis DAST se ejecuta contra el ambiente de preproducción como condición obligatoria del gate de seguridad definido en GOB-001, sección 6.</w:t>
      </w:r>
    </w:p>
    <w:p>
      <w:pPr>
        <w:pStyle w:val="ListParagraph"/>
        <w:numPr>
          <w:ilvl w:val="0"/>
          <w:numId w:val="2"/>
        </w:numPr>
        <w:spacing w:after="120"/>
      </w:pPr>
      <w:r>
        <w:t xml:space="preserve">Los hallazgos se clasifican según la matriz de severidad CVSS de la sección 6.1 y quedan sujetos a los SLA de la sección 6.2.</w:t>
      </w:r>
    </w:p>
    <w:p>
      <w:pPr>
        <w:pStyle w:val="ListParagraph"/>
        <w:numPr>
          <w:ilvl w:val="0"/>
          <w:numId w:val="2"/>
        </w:numPr>
        <w:spacing w:after="120"/>
      </w:pPr>
      <w:r>
        <w:t xml:space="preserve">Ningún resultado de SAST/DAST puede suprimirse sin registro formal de excepción, conforme al proceso de GOB-001, sección 5.2.</w:t>
      </w:r>
    </w:p>
    <w:p>
      <w:pPr>
        <w:pStyle w:val="Heading2"/>
        <w:spacing w:after="180" w:before="360"/>
      </w:pPr>
      <w:r>
        <w:rPr>
          <w:b/>
          <w:bCs/>
        </w:rPr>
        <w:t xml:space="preserve">5.3. Política de Análisis de Componentes de Terceros y Software Composition Analysis (SCA)</w:t>
      </w:r>
    </w:p>
    <w:p>
      <w:pPr>
        <w:spacing w:after="200" w:line="276"/>
      </w:pPr>
      <w:r>
        <w:t xml:space="preserve">Toda dependencia de terceros, librería de código abierto e imagen base de contenedor debe analizarse mediante herramientas de Software Composition Analysis antes de su incorporación y de forma continua durante su ciclo de vida.</w:t>
      </w:r>
    </w:p>
    <w:p>
      <w:pPr>
        <w:pStyle w:val="ListParagraph"/>
        <w:numPr>
          <w:ilvl w:val="0"/>
          <w:numId w:val="2"/>
        </w:numPr>
        <w:spacing w:after="120"/>
      </w:pPr>
      <w:r>
        <w:t xml:space="preserve">Se mantiene un inventario de materiales de software (SBOM) generado automáticamente para cada artefacto desplegado.</w:t>
      </w:r>
    </w:p>
    <w:p>
      <w:pPr>
        <w:pStyle w:val="ListParagraph"/>
        <w:numPr>
          <w:ilvl w:val="0"/>
          <w:numId w:val="2"/>
        </w:numPr>
        <w:spacing w:after="120"/>
      </w:pPr>
      <w:r>
        <w:t xml:space="preserve">Las dependencias con vulnerabilidades conocidas de severidad crítica o alta no pueden incorporarse a un nuevo desarrollo.</w:t>
      </w:r>
    </w:p>
    <w:p>
      <w:pPr>
        <w:pStyle w:val="ListParagraph"/>
        <w:numPr>
          <w:ilvl w:val="0"/>
          <w:numId w:val="2"/>
        </w:numPr>
        <w:spacing w:after="120"/>
      </w:pPr>
      <w:r>
        <w:t xml:space="preserve">Las licencias de código abierto se validan automáticamente contra la lista de licencias aprobadas por el área Legal.</w:t>
      </w:r>
    </w:p>
    <w:p>
      <w:pPr>
        <w:pStyle w:val="ListParagraph"/>
        <w:numPr>
          <w:ilvl w:val="0"/>
          <w:numId w:val="2"/>
        </w:numPr>
        <w:spacing w:after="120"/>
      </w:pPr>
      <w:r>
        <w:t xml:space="preserve">El escaneo SCA se re-ejecuta de forma programada sobre todo artefacto en producción, no solo en el momento de su construcción, para detectar vulnerabilidades reveladas después del despliegue.</w:t>
      </w:r>
    </w:p>
    <w:p>
      <w:pPr>
        <w:pStyle w:val="Heading2"/>
        <w:spacing w:after="180" w:before="360"/>
      </w:pPr>
      <w:r>
        <w:rPr>
          <w:b/>
          <w:bCs/>
        </w:rPr>
        <w:t xml:space="preserve">5.4. Política de Detección de Secretos y Credenciales Incrustadas</w:t>
      </w:r>
    </w:p>
    <w:p>
      <w:pPr>
        <w:spacing w:after="200" w:line="276"/>
      </w:pPr>
      <w:r>
        <w:t xml:space="preserve">Queda terminantemente prohibido incluir contraseñas, llaves de API, tokens, certificados privados o cualquier otro secreto directamente en el código fuente, archivos de configuración versionados o historial de commits.</w:t>
      </w:r>
    </w:p>
    <w:p>
      <w:pPr>
        <w:pStyle w:val="ListParagraph"/>
        <w:numPr>
          <w:ilvl w:val="0"/>
          <w:numId w:val="2"/>
        </w:numPr>
        <w:spacing w:after="120"/>
      </w:pPr>
      <w:r>
        <w:t xml:space="preserve">Todo pipeline ejecuta detección automatizada de secretos (secret scanning) en cada push, bloqueando la operación si se detecta un hallazgo.</w:t>
      </w:r>
    </w:p>
    <w:p>
      <w:pPr>
        <w:pStyle w:val="ListParagraph"/>
        <w:numPr>
          <w:ilvl w:val="0"/>
          <w:numId w:val="2"/>
        </w:numPr>
        <w:spacing w:after="120"/>
      </w:pPr>
      <w:r>
        <w:t xml:space="preserve">Los secretos se gestionan exclusivamente a través del gestor de secretos corporativo homologado, con inyección en tiempo de ejecución.</w:t>
      </w:r>
    </w:p>
    <w:p>
      <w:pPr>
        <w:pStyle w:val="ListParagraph"/>
        <w:numPr>
          <w:ilvl w:val="0"/>
          <w:numId w:val="2"/>
        </w:numPr>
        <w:spacing w:after="120"/>
      </w:pPr>
      <w:r>
        <w:t xml:space="preserve">Todo secreto expuesto detectado, incluso en historial de commits ya fusionado, se considera un incidente de seguridad y debe rotarse de inmediato, independientemente de si fue explotado.</w:t>
      </w:r>
    </w:p>
    <w:p>
      <w:pPr>
        <w:pStyle w:val="Heading1"/>
        <w:pageBreakBefore/>
        <w:spacing w:after="240" w:before="480"/>
      </w:pPr>
      <w:r>
        <w:rPr>
          <w:b/>
          <w:bCs/>
        </w:rPr>
        <w:t xml:space="preserve">6. Gobierno de Vulnerabilidades</w:t>
      </w:r>
    </w:p>
    <w:p>
      <w:pPr>
        <w:spacing w:after="200" w:line="276"/>
      </w:pPr>
      <w:r>
        <w:t xml:space="preserve">Este capítulo define cómo se clasifica la severidad de una vulnerabilidad y los plazos máximos obligatorios para su remediación según el ambiente donde se detecta.</w:t>
      </w:r>
    </w:p>
    <w:p>
      <w:pPr>
        <w:pStyle w:val="Heading2"/>
        <w:spacing w:after="180" w:before="360"/>
      </w:pPr>
      <w:r>
        <w:rPr>
          <w:b/>
          <w:bCs/>
        </w:rPr>
        <w:t xml:space="preserve">6.1. Clasificación de Severidad (CVSS v3.1 / v4.0)</w:t>
      </w:r>
    </w:p>
    <w:p>
      <w:pPr>
        <w:spacing w:after="200" w:line="276"/>
      </w:pPr>
      <w:r>
        <w:t xml:space="preserve">Toda vulnerabilidad identificada se clasifica utilizando el sistema Common Vulnerability Scoring System (CVSS), en su versión 3.1 o 4.0 según lo soporte la herramienta de origen, conforme a la siguiente escala: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00"/>
        <w:gridCol w:w="2100"/>
        <w:gridCol w:w="5750"/>
      </w:tblGrid>
      <w:tr>
        <w:trPr>
          <w:tblHeader/>
        </w:trPr>
        <w:tc>
          <w:tcPr>
            <w:tcW w:type="dxa" w:w="1500"/>
            <w:shd w:fill="1F3864" w:val="clear"/>
            <w:tcMar>
              <w:top w:type="dxa" w:w="80"/>
              <w:left w:type="dxa" w:w="100"/>
              <w:bottom w:type="dxa" w:w="80"/>
              <w:right w:type="dxa" w:w="100"/>
            </w:tcMar>
            <w:vAlign w:val="center"/>
          </w:tcPr>
          <w:p>
            <w:pPr>
              <w:jc w:val="center"/>
            </w:pPr>
            <w:r>
              <w:rPr>
                <w:b/>
                <w:bCs/>
                <w:color w:val="FFFFFF"/>
              </w:rPr>
              <w:t xml:space="preserve">Severidad</w:t>
            </w:r>
          </w:p>
        </w:tc>
        <w:tc>
          <w:tcPr>
            <w:tcW w:type="dxa" w:w="2100"/>
            <w:shd w:fill="1F3864" w:val="clear"/>
            <w:tcMar>
              <w:top w:type="dxa" w:w="80"/>
              <w:left w:type="dxa" w:w="100"/>
              <w:bottom w:type="dxa" w:w="80"/>
              <w:right w:type="dxa" w:w="100"/>
            </w:tcMar>
            <w:vAlign w:val="center"/>
          </w:tcPr>
          <w:p>
            <w:pPr>
              <w:jc w:val="center"/>
            </w:pPr>
            <w:r>
              <w:rPr>
                <w:b/>
                <w:bCs/>
                <w:color w:val="FFFFFF"/>
              </w:rPr>
              <w:t xml:space="preserve">Rango CVSS v3.1 / v4.0</w:t>
            </w:r>
          </w:p>
        </w:tc>
        <w:tc>
          <w:tcPr>
            <w:tcW w:type="dxa" w:w="5750"/>
            <w:shd w:fill="1F3864" w:val="clear"/>
            <w:tcMar>
              <w:top w:type="dxa" w:w="80"/>
              <w:left w:type="dxa" w:w="100"/>
              <w:bottom w:type="dxa" w:w="80"/>
              <w:right w:type="dxa" w:w="100"/>
            </w:tcMar>
            <w:vAlign w:val="center"/>
          </w:tcPr>
          <w:p>
            <w:pPr>
              <w:jc w:val="left"/>
            </w:pPr>
            <w:r>
              <w:rPr>
                <w:b/>
                <w:bCs/>
                <w:color w:val="FFFFFF"/>
              </w:rPr>
              <w:t xml:space="preserve">Impacto Esperado</w:t>
            </w:r>
          </w:p>
        </w:tc>
      </w:tr>
      <w:tr>
        <w:tc>
          <w:tcPr>
            <w:tcW w:type="dxa" w:w="1500"/>
            <w:shd w:fill="FFC7CE" w:val="clear"/>
            <w:tcMar>
              <w:top w:type="dxa" w:w="80"/>
              <w:left w:type="dxa" w:w="100"/>
              <w:bottom w:type="dxa" w:w="80"/>
              <w:right w:type="dxa" w:w="100"/>
            </w:tcMar>
            <w:vAlign w:val="center"/>
          </w:tcPr>
          <w:p>
            <w:pPr>
              <w:jc w:val="center"/>
            </w:pPr>
            <w:r>
              <w:rPr>
                <w:b/>
                <w:bCs/>
                <w:color w:val="9C0006"/>
              </w:rPr>
              <w:t xml:space="preserve">Critica</w:t>
            </w:r>
          </w:p>
        </w:tc>
        <w:tc>
          <w:tcPr>
            <w:tcW w:type="dxa" w:w="2100"/>
            <w:tcMar>
              <w:top w:type="dxa" w:w="80"/>
              <w:left w:type="dxa" w:w="100"/>
              <w:bottom w:type="dxa" w:w="80"/>
              <w:right w:type="dxa" w:w="100"/>
            </w:tcMar>
            <w:vAlign w:val="center"/>
          </w:tcPr>
          <w:p>
            <w:pPr>
              <w:jc w:val="center"/>
            </w:pPr>
            <w:r>
              <w:rPr>
                <w:b w:val="false"/>
                <w:bCs w:val="false"/>
                <w:color w:val="000000"/>
              </w:rPr>
              <w:t xml:space="preserve">9.0 – 10.0</w:t>
            </w:r>
          </w:p>
        </w:tc>
        <w:tc>
          <w:tcPr>
            <w:tcW w:type="dxa" w:w="5750"/>
            <w:tcMar>
              <w:top w:type="dxa" w:w="80"/>
              <w:left w:type="dxa" w:w="100"/>
              <w:bottom w:type="dxa" w:w="80"/>
              <w:right w:type="dxa" w:w="100"/>
            </w:tcMar>
            <w:vAlign w:val="center"/>
          </w:tcPr>
          <w:p>
            <w:pPr>
              <w:jc w:val="left"/>
            </w:pPr>
            <w:r>
              <w:rPr>
                <w:b w:val="false"/>
                <w:bCs w:val="false"/>
                <w:color w:val="000000"/>
              </w:rPr>
              <w:t xml:space="preserve">Compromiso total de confidencialidad, integridad o disponibilidad; explotación remota sin autenticación. Bloquea el despliegue de forma automática.</w:t>
            </w:r>
          </w:p>
        </w:tc>
      </w:tr>
      <w:tr>
        <w:tc>
          <w:tcPr>
            <w:tcW w:type="dxa" w:w="1500"/>
            <w:shd w:fill="FCE4E4" w:val="clear"/>
            <w:tcMar>
              <w:top w:type="dxa" w:w="80"/>
              <w:left w:type="dxa" w:w="100"/>
              <w:bottom w:type="dxa" w:w="80"/>
              <w:right w:type="dxa" w:w="100"/>
            </w:tcMar>
            <w:vAlign w:val="center"/>
          </w:tcPr>
          <w:p>
            <w:pPr>
              <w:jc w:val="center"/>
            </w:pPr>
            <w:r>
              <w:rPr>
                <w:b/>
                <w:bCs/>
                <w:color w:val="C00000"/>
              </w:rPr>
              <w:t xml:space="preserve">Alta</w:t>
            </w:r>
          </w:p>
        </w:tc>
        <w:tc>
          <w:tcPr>
            <w:tcW w:type="dxa" w:w="2100"/>
            <w:tcMar>
              <w:top w:type="dxa" w:w="80"/>
              <w:left w:type="dxa" w:w="100"/>
              <w:bottom w:type="dxa" w:w="80"/>
              <w:right w:type="dxa" w:w="100"/>
            </w:tcMar>
            <w:vAlign w:val="center"/>
          </w:tcPr>
          <w:p>
            <w:pPr>
              <w:jc w:val="center"/>
            </w:pPr>
            <w:r>
              <w:rPr>
                <w:b w:val="false"/>
                <w:bCs w:val="false"/>
                <w:color w:val="000000"/>
              </w:rPr>
              <w:t xml:space="preserve">7.0 – 8.9</w:t>
            </w:r>
          </w:p>
        </w:tc>
        <w:tc>
          <w:tcPr>
            <w:tcW w:type="dxa" w:w="5750"/>
            <w:tcMar>
              <w:top w:type="dxa" w:w="80"/>
              <w:left w:type="dxa" w:w="100"/>
              <w:bottom w:type="dxa" w:w="80"/>
              <w:right w:type="dxa" w:w="100"/>
            </w:tcMar>
            <w:vAlign w:val="center"/>
          </w:tcPr>
          <w:p>
            <w:pPr>
              <w:jc w:val="left"/>
            </w:pPr>
            <w:r>
              <w:rPr>
                <w:b w:val="false"/>
                <w:bCs w:val="false"/>
                <w:color w:val="000000"/>
              </w:rPr>
              <w:t xml:space="preserve">Compromiso significativo de datos o servicio; requiere remediación prioritaria antes de producción.</w:t>
            </w:r>
          </w:p>
        </w:tc>
      </w:tr>
      <w:tr>
        <w:tc>
          <w:tcPr>
            <w:tcW w:type="dxa" w:w="1500"/>
            <w:shd w:fill="FFF2CC" w:val="clear"/>
            <w:tcMar>
              <w:top w:type="dxa" w:w="80"/>
              <w:left w:type="dxa" w:w="100"/>
              <w:bottom w:type="dxa" w:w="80"/>
              <w:right w:type="dxa" w:w="100"/>
            </w:tcMar>
            <w:vAlign w:val="center"/>
          </w:tcPr>
          <w:p>
            <w:pPr>
              <w:jc w:val="center"/>
            </w:pPr>
            <w:r>
              <w:rPr>
                <w:b/>
                <w:bCs/>
                <w:color w:val="7F6000"/>
              </w:rPr>
              <w:t xml:space="preserve">Media</w:t>
            </w:r>
          </w:p>
        </w:tc>
        <w:tc>
          <w:tcPr>
            <w:tcW w:type="dxa" w:w="2100"/>
            <w:tcMar>
              <w:top w:type="dxa" w:w="80"/>
              <w:left w:type="dxa" w:w="100"/>
              <w:bottom w:type="dxa" w:w="80"/>
              <w:right w:type="dxa" w:w="100"/>
            </w:tcMar>
            <w:vAlign w:val="center"/>
          </w:tcPr>
          <w:p>
            <w:pPr>
              <w:jc w:val="center"/>
            </w:pPr>
            <w:r>
              <w:rPr>
                <w:b w:val="false"/>
                <w:bCs w:val="false"/>
                <w:color w:val="000000"/>
              </w:rPr>
              <w:t xml:space="preserve">4.0 – 6.9</w:t>
            </w:r>
          </w:p>
        </w:tc>
        <w:tc>
          <w:tcPr>
            <w:tcW w:type="dxa" w:w="5750"/>
            <w:tcMar>
              <w:top w:type="dxa" w:w="80"/>
              <w:left w:type="dxa" w:w="100"/>
              <w:bottom w:type="dxa" w:w="80"/>
              <w:right w:type="dxa" w:w="100"/>
            </w:tcMar>
            <w:vAlign w:val="center"/>
          </w:tcPr>
          <w:p>
            <w:pPr>
              <w:jc w:val="left"/>
            </w:pPr>
            <w:r>
              <w:rPr>
                <w:b w:val="false"/>
                <w:bCs w:val="false"/>
                <w:color w:val="000000"/>
              </w:rPr>
              <w:t xml:space="preserve">Impacto acotado o que requiere condiciones adicionales para explotarse; remediación planificada.</w:t>
            </w:r>
          </w:p>
        </w:tc>
      </w:tr>
      <w:tr>
        <w:tc>
          <w:tcPr>
            <w:tcW w:type="dxa" w:w="1500"/>
            <w:shd w:fill="E2EFDA" w:val="clear"/>
            <w:tcMar>
              <w:top w:type="dxa" w:w="80"/>
              <w:left w:type="dxa" w:w="100"/>
              <w:bottom w:type="dxa" w:w="80"/>
              <w:right w:type="dxa" w:w="100"/>
            </w:tcMar>
            <w:vAlign w:val="center"/>
          </w:tcPr>
          <w:p>
            <w:pPr>
              <w:jc w:val="center"/>
            </w:pPr>
            <w:r>
              <w:rPr>
                <w:b/>
                <w:bCs/>
                <w:color w:val="375623"/>
              </w:rPr>
              <w:t xml:space="preserve">Baja</w:t>
            </w:r>
          </w:p>
        </w:tc>
        <w:tc>
          <w:tcPr>
            <w:tcW w:type="dxa" w:w="2100"/>
            <w:tcMar>
              <w:top w:type="dxa" w:w="80"/>
              <w:left w:type="dxa" w:w="100"/>
              <w:bottom w:type="dxa" w:w="80"/>
              <w:right w:type="dxa" w:w="100"/>
            </w:tcMar>
            <w:vAlign w:val="center"/>
          </w:tcPr>
          <w:p>
            <w:pPr>
              <w:jc w:val="center"/>
            </w:pPr>
            <w:r>
              <w:rPr>
                <w:b w:val="false"/>
                <w:bCs w:val="false"/>
                <w:color w:val="000000"/>
              </w:rPr>
              <w:t xml:space="preserve">0.1 – 3.9</w:t>
            </w:r>
          </w:p>
        </w:tc>
        <w:tc>
          <w:tcPr>
            <w:tcW w:type="dxa" w:w="5750"/>
            <w:tcMar>
              <w:top w:type="dxa" w:w="80"/>
              <w:left w:type="dxa" w:w="100"/>
              <w:bottom w:type="dxa" w:w="80"/>
              <w:right w:type="dxa" w:w="100"/>
            </w:tcMar>
            <w:vAlign w:val="center"/>
          </w:tcPr>
          <w:p>
            <w:pPr>
              <w:jc w:val="left"/>
            </w:pPr>
            <w:r>
              <w:rPr>
                <w:b w:val="false"/>
                <w:bCs w:val="false"/>
                <w:color w:val="000000"/>
              </w:rPr>
              <w:t xml:space="preserve">Impacto mínimo; remediación en el ciclo regular de mantenimiento.</w:t>
            </w:r>
          </w:p>
        </w:tc>
      </w:tr>
    </w:tbl>
    <w:p>
      <w:pPr>
        <w:pStyle w:val="Heading2"/>
        <w:spacing w:after="180" w:before="360"/>
      </w:pPr>
      <w:r>
        <w:rPr>
          <w:b/>
          <w:bCs/>
        </w:rPr>
        <w:t xml:space="preserve">6.2. SLA Mandatorios de Remediación</w:t>
      </w:r>
    </w:p>
    <w:p>
      <w:pPr>
        <w:spacing w:after="200" w:line="276"/>
      </w:pPr>
      <w:r>
        <w:t xml:space="preserve">Los siguientes plazos son de cumplimiento obligatorio y se miden desde el momento en que la vulnerabilidad es confirmada (no desde su detección preliminar). El incumplimiento activa automáticamente el mecanismo de escalación correspondiente.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50"/>
        <w:gridCol w:w="1900"/>
        <w:gridCol w:w="1900"/>
        <w:gridCol w:w="1900"/>
        <w:gridCol w:w="1900"/>
      </w:tblGrid>
      <w:tr>
        <w:trPr>
          <w:tblHeader/>
        </w:trPr>
        <w:tc>
          <w:tcPr>
            <w:tcW w:type="dxa" w:w="1750"/>
            <w:shd w:fill="1F3864" w:val="clear"/>
            <w:tcMar>
              <w:top w:type="dxa" w:w="80"/>
              <w:left w:type="dxa" w:w="100"/>
              <w:bottom w:type="dxa" w:w="80"/>
              <w:right w:type="dxa" w:w="100"/>
            </w:tcMar>
            <w:vAlign w:val="center"/>
          </w:tcPr>
          <w:p>
            <w:pPr>
              <w:jc w:val="center"/>
            </w:pPr>
            <w:r>
              <w:rPr>
                <w:b/>
                <w:bCs/>
                <w:color w:val="FFFFFF"/>
              </w:rPr>
              <w:t xml:space="preserve">Severidad</w:t>
            </w:r>
          </w:p>
        </w:tc>
        <w:tc>
          <w:tcPr>
            <w:tcW w:type="dxa" w:w="1900"/>
            <w:shd w:fill="1F3864" w:val="clear"/>
            <w:tcMar>
              <w:top w:type="dxa" w:w="80"/>
              <w:left w:type="dxa" w:w="100"/>
              <w:bottom w:type="dxa" w:w="80"/>
              <w:right w:type="dxa" w:w="100"/>
            </w:tcMar>
            <w:vAlign w:val="center"/>
          </w:tcPr>
          <w:p>
            <w:pPr>
              <w:jc w:val="center"/>
            </w:pPr>
            <w:r>
              <w:rPr>
                <w:b/>
                <w:bCs/>
                <w:color w:val="FFFFFF"/>
              </w:rPr>
              <w:t xml:space="preserve">Producción</w:t>
            </w:r>
          </w:p>
        </w:tc>
        <w:tc>
          <w:tcPr>
            <w:tcW w:type="dxa" w:w="1900"/>
            <w:shd w:fill="1F3864" w:val="clear"/>
            <w:tcMar>
              <w:top w:type="dxa" w:w="80"/>
              <w:left w:type="dxa" w:w="100"/>
              <w:bottom w:type="dxa" w:w="80"/>
              <w:right w:type="dxa" w:w="100"/>
            </w:tcMar>
            <w:vAlign w:val="center"/>
          </w:tcPr>
          <w:p>
            <w:pPr>
              <w:jc w:val="center"/>
            </w:pPr>
            <w:r>
              <w:rPr>
                <w:b/>
                <w:bCs/>
                <w:color w:val="FFFFFF"/>
              </w:rPr>
              <w:t xml:space="preserve">Preproducción</w:t>
            </w:r>
          </w:p>
        </w:tc>
        <w:tc>
          <w:tcPr>
            <w:tcW w:type="dxa" w:w="1900"/>
            <w:shd w:fill="1F3864" w:val="clear"/>
            <w:tcMar>
              <w:top w:type="dxa" w:w="80"/>
              <w:left w:type="dxa" w:w="100"/>
              <w:bottom w:type="dxa" w:w="80"/>
              <w:right w:type="dxa" w:w="100"/>
            </w:tcMar>
            <w:vAlign w:val="center"/>
          </w:tcPr>
          <w:p>
            <w:pPr>
              <w:jc w:val="center"/>
            </w:pPr>
            <w:r>
              <w:rPr>
                <w:b/>
                <w:bCs/>
                <w:color w:val="FFFFFF"/>
              </w:rPr>
              <w:t xml:space="preserve">Desarrollo</w:t>
            </w:r>
          </w:p>
        </w:tc>
        <w:tc>
          <w:tcPr>
            <w:tcW w:type="dxa" w:w="1900"/>
            <w:shd w:fill="1F3864" w:val="clear"/>
            <w:tcMar>
              <w:top w:type="dxa" w:w="80"/>
              <w:left w:type="dxa" w:w="100"/>
              <w:bottom w:type="dxa" w:w="80"/>
              <w:right w:type="dxa" w:w="100"/>
            </w:tcMar>
            <w:vAlign w:val="center"/>
          </w:tcPr>
          <w:p>
            <w:pPr>
              <w:jc w:val="center"/>
            </w:pPr>
            <w:r>
              <w:rPr>
                <w:b/>
                <w:bCs/>
                <w:color w:val="FFFFFF"/>
              </w:rPr>
              <w:t xml:space="preserve">Acción si se incumple el SLA</w:t>
            </w:r>
          </w:p>
        </w:tc>
      </w:tr>
      <w:tr>
        <w:tc>
          <w:tcPr>
            <w:tcW w:type="dxa" w:w="1750"/>
            <w:shd w:fill="FFC7CE" w:val="clear"/>
            <w:tcMar>
              <w:top w:type="dxa" w:w="80"/>
              <w:left w:type="dxa" w:w="100"/>
              <w:bottom w:type="dxa" w:w="80"/>
              <w:right w:type="dxa" w:w="100"/>
            </w:tcMar>
            <w:vAlign w:val="center"/>
          </w:tcPr>
          <w:p>
            <w:pPr>
              <w:jc w:val="center"/>
            </w:pPr>
            <w:r>
              <w:rPr>
                <w:b/>
                <w:bCs/>
                <w:color w:val="9C0006"/>
              </w:rPr>
              <w:t xml:space="preserve">Critica</w:t>
            </w:r>
          </w:p>
        </w:tc>
        <w:tc>
          <w:tcPr>
            <w:tcW w:type="dxa" w:w="1900"/>
            <w:tcMar>
              <w:top w:type="dxa" w:w="80"/>
              <w:left w:type="dxa" w:w="100"/>
              <w:bottom w:type="dxa" w:w="80"/>
              <w:right w:type="dxa" w:w="100"/>
            </w:tcMar>
            <w:vAlign w:val="center"/>
          </w:tcPr>
          <w:p>
            <w:pPr>
              <w:jc w:val="center"/>
            </w:pPr>
            <w:r>
              <w:rPr>
                <w:b w:val="false"/>
                <w:bCs w:val="false"/>
                <w:color w:val="000000"/>
              </w:rPr>
              <w:t xml:space="preserve">24 horas</w:t>
            </w:r>
          </w:p>
        </w:tc>
        <w:tc>
          <w:tcPr>
            <w:tcW w:type="dxa" w:w="1900"/>
            <w:tcMar>
              <w:top w:type="dxa" w:w="80"/>
              <w:left w:type="dxa" w:w="100"/>
              <w:bottom w:type="dxa" w:w="80"/>
              <w:right w:type="dxa" w:w="100"/>
            </w:tcMar>
            <w:vAlign w:val="center"/>
          </w:tcPr>
          <w:p>
            <w:pPr>
              <w:jc w:val="center"/>
            </w:pPr>
            <w:r>
              <w:rPr>
                <w:b w:val="false"/>
                <w:bCs w:val="false"/>
                <w:color w:val="000000"/>
              </w:rPr>
              <w:t xml:space="preserve">48 horas</w:t>
            </w:r>
          </w:p>
        </w:tc>
        <w:tc>
          <w:tcPr>
            <w:tcW w:type="dxa" w:w="1900"/>
            <w:tcMar>
              <w:top w:type="dxa" w:w="80"/>
              <w:left w:type="dxa" w:w="100"/>
              <w:bottom w:type="dxa" w:w="80"/>
              <w:right w:type="dxa" w:w="100"/>
            </w:tcMar>
            <w:vAlign w:val="center"/>
          </w:tcPr>
          <w:p>
            <w:pPr>
              <w:jc w:val="center"/>
            </w:pPr>
            <w:r>
              <w:rPr>
                <w:b w:val="false"/>
                <w:bCs w:val="false"/>
                <w:color w:val="000000"/>
              </w:rPr>
              <w:t xml:space="preserve">5 días hábiles</w:t>
            </w:r>
          </w:p>
        </w:tc>
        <w:tc>
          <w:tcPr>
            <w:tcW w:type="dxa" w:w="1900"/>
            <w:tcMar>
              <w:top w:type="dxa" w:w="80"/>
              <w:left w:type="dxa" w:w="100"/>
              <w:bottom w:type="dxa" w:w="80"/>
              <w:right w:type="dxa" w:w="100"/>
            </w:tcMar>
            <w:vAlign w:val="center"/>
          </w:tcPr>
          <w:p>
            <w:pPr>
              <w:jc w:val="left"/>
            </w:pPr>
            <w:r>
              <w:rPr>
                <w:b w:val="false"/>
                <w:bCs w:val="false"/>
                <w:color w:val="000000"/>
              </w:rPr>
              <w:t xml:space="preserve">Escalación automática al CISO y bloqueo de nuevos despliegues del componente.</w:t>
            </w:r>
          </w:p>
        </w:tc>
      </w:tr>
      <w:tr>
        <w:tc>
          <w:tcPr>
            <w:tcW w:type="dxa" w:w="1750"/>
            <w:shd w:fill="FCE4E4" w:val="clear"/>
            <w:tcMar>
              <w:top w:type="dxa" w:w="80"/>
              <w:left w:type="dxa" w:w="100"/>
              <w:bottom w:type="dxa" w:w="80"/>
              <w:right w:type="dxa" w:w="100"/>
            </w:tcMar>
            <w:vAlign w:val="center"/>
          </w:tcPr>
          <w:p>
            <w:pPr>
              <w:jc w:val="center"/>
            </w:pPr>
            <w:r>
              <w:rPr>
                <w:b/>
                <w:bCs/>
                <w:color w:val="C00000"/>
              </w:rPr>
              <w:t xml:space="preserve">Alta</w:t>
            </w:r>
          </w:p>
        </w:tc>
        <w:tc>
          <w:tcPr>
            <w:tcW w:type="dxa" w:w="1900"/>
            <w:tcMar>
              <w:top w:type="dxa" w:w="80"/>
              <w:left w:type="dxa" w:w="100"/>
              <w:bottom w:type="dxa" w:w="80"/>
              <w:right w:type="dxa" w:w="100"/>
            </w:tcMar>
            <w:vAlign w:val="center"/>
          </w:tcPr>
          <w:p>
            <w:pPr>
              <w:jc w:val="center"/>
            </w:pPr>
            <w:r>
              <w:rPr>
                <w:b w:val="false"/>
                <w:bCs w:val="false"/>
                <w:color w:val="000000"/>
              </w:rPr>
              <w:t xml:space="preserve">7 días</w:t>
            </w:r>
          </w:p>
        </w:tc>
        <w:tc>
          <w:tcPr>
            <w:tcW w:type="dxa" w:w="1900"/>
            <w:tcMar>
              <w:top w:type="dxa" w:w="80"/>
              <w:left w:type="dxa" w:w="100"/>
              <w:bottom w:type="dxa" w:w="80"/>
              <w:right w:type="dxa" w:w="100"/>
            </w:tcMar>
            <w:vAlign w:val="center"/>
          </w:tcPr>
          <w:p>
            <w:pPr>
              <w:jc w:val="center"/>
            </w:pPr>
            <w:r>
              <w:rPr>
                <w:b w:val="false"/>
                <w:bCs w:val="false"/>
                <w:color w:val="000000"/>
              </w:rPr>
              <w:t xml:space="preserve">10 días</w:t>
            </w:r>
          </w:p>
        </w:tc>
        <w:tc>
          <w:tcPr>
            <w:tcW w:type="dxa" w:w="1900"/>
            <w:tcMar>
              <w:top w:type="dxa" w:w="80"/>
              <w:left w:type="dxa" w:w="100"/>
              <w:bottom w:type="dxa" w:w="80"/>
              <w:right w:type="dxa" w:w="100"/>
            </w:tcMar>
            <w:vAlign w:val="center"/>
          </w:tcPr>
          <w:p>
            <w:pPr>
              <w:jc w:val="center"/>
            </w:pPr>
            <w:r>
              <w:rPr>
                <w:b w:val="false"/>
                <w:bCs w:val="false"/>
                <w:color w:val="000000"/>
              </w:rPr>
              <w:t xml:space="preserve">15 días</w:t>
            </w:r>
          </w:p>
        </w:tc>
        <w:tc>
          <w:tcPr>
            <w:tcW w:type="dxa" w:w="1900"/>
            <w:tcMar>
              <w:top w:type="dxa" w:w="80"/>
              <w:left w:type="dxa" w:w="100"/>
              <w:bottom w:type="dxa" w:w="80"/>
              <w:right w:type="dxa" w:w="100"/>
            </w:tcMar>
            <w:vAlign w:val="center"/>
          </w:tcPr>
          <w:p>
            <w:pPr>
              <w:jc w:val="left"/>
            </w:pPr>
            <w:r>
              <w:rPr>
                <w:b w:val="false"/>
                <w:bCs w:val="false"/>
                <w:color w:val="000000"/>
              </w:rPr>
              <w:t xml:space="preserve">Escalación al líder del equipo y al Security Champion.</w:t>
            </w:r>
          </w:p>
        </w:tc>
      </w:tr>
      <w:tr>
        <w:tc>
          <w:tcPr>
            <w:tcW w:type="dxa" w:w="1750"/>
            <w:shd w:fill="FFF2CC" w:val="clear"/>
            <w:tcMar>
              <w:top w:type="dxa" w:w="80"/>
              <w:left w:type="dxa" w:w="100"/>
              <w:bottom w:type="dxa" w:w="80"/>
              <w:right w:type="dxa" w:w="100"/>
            </w:tcMar>
            <w:vAlign w:val="center"/>
          </w:tcPr>
          <w:p>
            <w:pPr>
              <w:jc w:val="center"/>
            </w:pPr>
            <w:r>
              <w:rPr>
                <w:b/>
                <w:bCs/>
                <w:color w:val="7F6000"/>
              </w:rPr>
              <w:t xml:space="preserve">Media</w:t>
            </w:r>
          </w:p>
        </w:tc>
        <w:tc>
          <w:tcPr>
            <w:tcW w:type="dxa" w:w="1900"/>
            <w:tcMar>
              <w:top w:type="dxa" w:w="80"/>
              <w:left w:type="dxa" w:w="100"/>
              <w:bottom w:type="dxa" w:w="80"/>
              <w:right w:type="dxa" w:w="100"/>
            </w:tcMar>
            <w:vAlign w:val="center"/>
          </w:tcPr>
          <w:p>
            <w:pPr>
              <w:jc w:val="center"/>
            </w:pPr>
            <w:r>
              <w:rPr>
                <w:b w:val="false"/>
                <w:bCs w:val="false"/>
                <w:color w:val="000000"/>
              </w:rPr>
              <w:t xml:space="preserve">30 días</w:t>
            </w:r>
          </w:p>
        </w:tc>
        <w:tc>
          <w:tcPr>
            <w:tcW w:type="dxa" w:w="1900"/>
            <w:tcMar>
              <w:top w:type="dxa" w:w="80"/>
              <w:left w:type="dxa" w:w="100"/>
              <w:bottom w:type="dxa" w:w="80"/>
              <w:right w:type="dxa" w:w="100"/>
            </w:tcMar>
            <w:vAlign w:val="center"/>
          </w:tcPr>
          <w:p>
            <w:pPr>
              <w:jc w:val="center"/>
            </w:pPr>
            <w:r>
              <w:rPr>
                <w:b w:val="false"/>
                <w:bCs w:val="false"/>
                <w:color w:val="000000"/>
              </w:rPr>
              <w:t xml:space="preserve">45 días</w:t>
            </w:r>
          </w:p>
        </w:tc>
        <w:tc>
          <w:tcPr>
            <w:tcW w:type="dxa" w:w="1900"/>
            <w:tcMar>
              <w:top w:type="dxa" w:w="80"/>
              <w:left w:type="dxa" w:w="100"/>
              <w:bottom w:type="dxa" w:w="80"/>
              <w:right w:type="dxa" w:w="100"/>
            </w:tcMar>
            <w:vAlign w:val="center"/>
          </w:tcPr>
          <w:p>
            <w:pPr>
              <w:jc w:val="center"/>
            </w:pPr>
            <w:r>
              <w:rPr>
                <w:b w:val="false"/>
                <w:bCs w:val="false"/>
                <w:color w:val="000000"/>
              </w:rPr>
              <w:t xml:space="preserve">60 días</w:t>
            </w:r>
          </w:p>
        </w:tc>
        <w:tc>
          <w:tcPr>
            <w:tcW w:type="dxa" w:w="1900"/>
            <w:tcMar>
              <w:top w:type="dxa" w:w="80"/>
              <w:left w:type="dxa" w:w="100"/>
              <w:bottom w:type="dxa" w:w="80"/>
              <w:right w:type="dxa" w:w="100"/>
            </w:tcMar>
            <w:vAlign w:val="center"/>
          </w:tcPr>
          <w:p>
            <w:pPr>
              <w:jc w:val="left"/>
            </w:pPr>
            <w:r>
              <w:rPr>
                <w:b w:val="false"/>
                <w:bCs w:val="false"/>
                <w:color w:val="000000"/>
              </w:rPr>
              <w:t xml:space="preserve">Inclusión obligatoria en el backlog del siguiente sprint.</w:t>
            </w:r>
          </w:p>
        </w:tc>
      </w:tr>
      <w:tr>
        <w:tc>
          <w:tcPr>
            <w:tcW w:type="dxa" w:w="1750"/>
            <w:shd w:fill="E2EFDA" w:val="clear"/>
            <w:tcMar>
              <w:top w:type="dxa" w:w="80"/>
              <w:left w:type="dxa" w:w="100"/>
              <w:bottom w:type="dxa" w:w="80"/>
              <w:right w:type="dxa" w:w="100"/>
            </w:tcMar>
            <w:vAlign w:val="center"/>
          </w:tcPr>
          <w:p>
            <w:pPr>
              <w:jc w:val="center"/>
            </w:pPr>
            <w:r>
              <w:rPr>
                <w:b/>
                <w:bCs/>
                <w:color w:val="375623"/>
              </w:rPr>
              <w:t xml:space="preserve">Baja</w:t>
            </w:r>
          </w:p>
        </w:tc>
        <w:tc>
          <w:tcPr>
            <w:tcW w:type="dxa" w:w="1900"/>
            <w:tcMar>
              <w:top w:type="dxa" w:w="80"/>
              <w:left w:type="dxa" w:w="100"/>
              <w:bottom w:type="dxa" w:w="80"/>
              <w:right w:type="dxa" w:w="100"/>
            </w:tcMar>
            <w:vAlign w:val="center"/>
          </w:tcPr>
          <w:p>
            <w:pPr>
              <w:jc w:val="center"/>
            </w:pPr>
            <w:r>
              <w:rPr>
                <w:b w:val="false"/>
                <w:bCs w:val="false"/>
                <w:color w:val="000000"/>
              </w:rPr>
              <w:t xml:space="preserve">90 días</w:t>
            </w:r>
          </w:p>
        </w:tc>
        <w:tc>
          <w:tcPr>
            <w:tcW w:type="dxa" w:w="1900"/>
            <w:tcMar>
              <w:top w:type="dxa" w:w="80"/>
              <w:left w:type="dxa" w:w="100"/>
              <w:bottom w:type="dxa" w:w="80"/>
              <w:right w:type="dxa" w:w="100"/>
            </w:tcMar>
            <w:vAlign w:val="center"/>
          </w:tcPr>
          <w:p>
            <w:pPr>
              <w:jc w:val="center"/>
            </w:pPr>
            <w:r>
              <w:rPr>
                <w:b w:val="false"/>
                <w:bCs w:val="false"/>
                <w:color w:val="000000"/>
              </w:rPr>
              <w:t xml:space="preserve">120 días</w:t>
            </w:r>
          </w:p>
        </w:tc>
        <w:tc>
          <w:tcPr>
            <w:tcW w:type="dxa" w:w="1900"/>
            <w:tcMar>
              <w:top w:type="dxa" w:w="80"/>
              <w:left w:type="dxa" w:w="100"/>
              <w:bottom w:type="dxa" w:w="80"/>
              <w:right w:type="dxa" w:w="100"/>
            </w:tcMar>
            <w:vAlign w:val="center"/>
          </w:tcPr>
          <w:p>
            <w:pPr>
              <w:jc w:val="center"/>
            </w:pPr>
            <w:r>
              <w:rPr>
                <w:b w:val="false"/>
                <w:bCs w:val="false"/>
                <w:color w:val="000000"/>
              </w:rPr>
              <w:t xml:space="preserve">Ciclo regular</w:t>
            </w:r>
          </w:p>
        </w:tc>
        <w:tc>
          <w:tcPr>
            <w:tcW w:type="dxa" w:w="1900"/>
            <w:tcMar>
              <w:top w:type="dxa" w:w="80"/>
              <w:left w:type="dxa" w:w="100"/>
              <w:bottom w:type="dxa" w:w="80"/>
              <w:right w:type="dxa" w:w="100"/>
            </w:tcMar>
            <w:vAlign w:val="center"/>
          </w:tcPr>
          <w:p>
            <w:pPr>
              <w:jc w:val="left"/>
            </w:pPr>
            <w:r>
              <w:rPr>
                <w:b w:val="false"/>
                <w:bCs w:val="false"/>
                <w:color w:val="000000"/>
              </w:rPr>
              <w:t xml:space="preserve">Seguimiento en el tablero de deuda de seguridad.</w:t>
            </w:r>
          </w:p>
        </w:tc>
      </w:tr>
    </w:tbl>
    <w:p>
      <w:pPr>
        <w:spacing w:after="200" w:line="276"/>
      </w:pPr>
      <w:r>
        <w:t xml:space="preserve">Estos SLA son consistentes con las métricas de Mean Time to Remediate (MTTRv) establecidas en el documento GOB-001, sección 7.2, y su cumplimiento se reporta en cada sesión del Comité de Gobierno DevSecOps.</w:t>
      </w:r>
    </w:p>
    <w:p>
      <w:pPr>
        <w:pStyle w:val="Heading1"/>
        <w:pageBreakBefore/>
        <w:spacing w:after="240" w:before="480"/>
      </w:pPr>
      <w:r>
        <w:rPr>
          <w:b/>
          <w:bCs/>
        </w:rPr>
        <w:t xml:space="preserve">7. Seguridad en el Ciclo de Vida del Pipeline (Pipeline Security)</w:t>
      </w:r>
    </w:p>
    <w:p>
      <w:pPr>
        <w:spacing w:after="200" w:line="276"/>
      </w:pPr>
      <w:r>
        <w:t xml:space="preserve">Este capítulo establece los controles que protegen la integridad técnica del propio pipeline de CI/CD, entendiendo que un pipeline comprometido puede introducir código malicioso incluso cuando el código fuente original es seguro.</w:t>
      </w:r>
    </w:p>
    <w:p>
      <w:pPr>
        <w:pStyle w:val="Heading2"/>
        <w:spacing w:after="180" w:before="360"/>
      </w:pPr>
      <w:r>
        <w:rPr>
          <w:b/>
          <w:bCs/>
        </w:rPr>
        <w:t xml:space="preserve">7.1. Protección de Integridad de Jobs y Runners</w:t>
      </w:r>
    </w:p>
    <w:p>
      <w:pPr>
        <w:pStyle w:val="ListParagraph"/>
        <w:numPr>
          <w:ilvl w:val="0"/>
          <w:numId w:val="2"/>
        </w:numPr>
        <w:spacing w:after="120"/>
      </w:pPr>
      <w:r>
        <w:t xml:space="preserve">Los runners de CI/CD se ejecutan en infraestructura efímera y aislada; ningún runner persiste estado entre ejecuciones de distintos proyectos.</w:t>
      </w:r>
    </w:p>
    <w:p>
      <w:pPr>
        <w:pStyle w:val="ListParagraph"/>
        <w:numPr>
          <w:ilvl w:val="0"/>
          <w:numId w:val="2"/>
        </w:numPr>
        <w:spacing w:after="120"/>
      </w:pPr>
      <w:r>
        <w:t xml:space="preserve">Los permisos de cada job se otorgan bajo el principio de mínimo privilegio, con credenciales de alcance limitado a los recursos estrictamente necesarios para esa ejecución.</w:t>
      </w:r>
    </w:p>
    <w:p>
      <w:pPr>
        <w:pStyle w:val="ListParagraph"/>
        <w:numPr>
          <w:ilvl w:val="0"/>
          <w:numId w:val="2"/>
        </w:numPr>
        <w:spacing w:after="120"/>
      </w:pPr>
      <w:r>
        <w:t xml:space="preserve">Las definiciones de pipeline (archivos de configuración CI/CD) se versionan, se revisan por pares y quedan sujetas a las mismas reglas de protección de rama que el código de aplicación.</w:t>
      </w:r>
    </w:p>
    <w:p>
      <w:pPr>
        <w:pStyle w:val="ListParagraph"/>
        <w:numPr>
          <w:ilvl w:val="0"/>
          <w:numId w:val="2"/>
        </w:numPr>
        <w:spacing w:after="120"/>
      </w:pPr>
      <w:r>
        <w:t xml:space="preserve">Queda prohibida la modificación manual de un job en ejecución o de su configuración fuera del control de versiones.</w:t>
      </w:r>
    </w:p>
    <w:p>
      <w:pPr>
        <w:pStyle w:val="Heading2"/>
        <w:spacing w:after="180" w:before="360"/>
      </w:pPr>
      <w:r>
        <w:rPr>
          <w:b/>
          <w:bCs/>
        </w:rPr>
        <w:t xml:space="preserve">7.2. Firma de Commits y Registro Inmutable de Builds</w:t>
      </w:r>
    </w:p>
    <w:p>
      <w:pPr>
        <w:pStyle w:val="ListParagraph"/>
        <w:numPr>
          <w:ilvl w:val="0"/>
          <w:numId w:val="2"/>
        </w:numPr>
        <w:spacing w:after="120"/>
      </w:pPr>
      <w:r>
        <w:t xml:space="preserve">Todo commit fusionado a la rama principal debe estar firmado criptográficamente (GPG o equivalente) y verificado por el pipeline antes de aceptar la fusión.</w:t>
      </w:r>
    </w:p>
    <w:p>
      <w:pPr>
        <w:pStyle w:val="ListParagraph"/>
        <w:numPr>
          <w:ilvl w:val="0"/>
          <w:numId w:val="2"/>
        </w:numPr>
        <w:spacing w:after="120"/>
      </w:pPr>
      <w:r>
        <w:t xml:space="preserve">Cada build genera un registro inmutable que vincula el commit de origen, los resultados de los escaneos de seguridad y el artefacto resultante, mediante procedencia verificable (attestation).</w:t>
      </w:r>
    </w:p>
    <w:p>
      <w:pPr>
        <w:pStyle w:val="ListParagraph"/>
        <w:numPr>
          <w:ilvl w:val="0"/>
          <w:numId w:val="2"/>
        </w:numPr>
        <w:spacing w:after="120"/>
      </w:pPr>
      <w:r>
        <w:t xml:space="preserve">Los artefactos desplegados a producción deben poder trazarse de forma inequívoca hasta el commit firmado que les dio origen, sin pasos manuales intermedios no registrados.</w:t>
      </w:r>
    </w:p>
    <w:p>
      <w:pPr>
        <w:pStyle w:val="ListParagraph"/>
        <w:numPr>
          <w:ilvl w:val="0"/>
          <w:numId w:val="2"/>
        </w:numPr>
        <w:spacing w:after="120"/>
      </w:pPr>
      <w:r>
        <w:t xml:space="preserve">Este registro se conserva un mínimo de 12 meses y está disponible para los procesos de auditoría referenciados en el capítulo 4.</w:t>
      </w:r>
    </w:p>
    <w:p>
      <w:pPr>
        <w:pStyle w:val="Heading1"/>
        <w:pageBreakBefore/>
        <w:spacing w:after="240" w:before="480"/>
      </w:pPr>
      <w:r>
        <w:rPr>
          <w:b/>
          <w:bCs/>
        </w:rPr>
        <w:t xml:space="preserve">8. Anexos</w:t>
      </w:r>
    </w:p>
    <w:p>
      <w:pPr>
        <w:pStyle w:val="Heading2"/>
        <w:spacing w:after="180" w:before="360"/>
      </w:pPr>
      <w:r>
        <w:rPr>
          <w:b/>
          <w:bCs/>
        </w:rPr>
        <w:t xml:space="preserve">8.1. Matriz de Umbrales Aceptables de Vulnerabilidad</w:t>
      </w:r>
    </w:p>
    <w:p>
      <w:pPr>
        <w:spacing w:after="200" w:line="276"/>
      </w:pPr>
      <w:r>
        <w:t xml:space="preserve">La siguiente matriz define, por ambiente y severidad, el número máximo de vulnerabilidades abiertas que se toleran sin bloquear la operación. Cualquier valor que exceda el umbral activa automáticamente el bloqueo de despliegue definido en el modelo de gobierno (documento GOB-001, capítulo 6).</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70"/>
        <w:gridCol w:w="1870"/>
        <w:gridCol w:w="1870"/>
        <w:gridCol w:w="1870"/>
        <w:gridCol w:w="1870"/>
      </w:tblGrid>
      <w:tr>
        <w:trPr>
          <w:tblHeader/>
        </w:trPr>
        <w:tc>
          <w:tcPr>
            <w:tcW w:type="dxa" w:w="1870"/>
            <w:shd w:fill="1F3864" w:val="clear"/>
            <w:tcMar>
              <w:top w:type="dxa" w:w="80"/>
              <w:left w:type="dxa" w:w="100"/>
              <w:bottom w:type="dxa" w:w="80"/>
              <w:right w:type="dxa" w:w="100"/>
            </w:tcMar>
            <w:vAlign w:val="center"/>
          </w:tcPr>
          <w:p>
            <w:pPr>
              <w:jc w:val="left"/>
            </w:pPr>
            <w:r>
              <w:rPr>
                <w:b/>
                <w:bCs/>
                <w:color w:val="FFFFFF"/>
              </w:rPr>
              <w:t xml:space="preserve">Ambiente</w:t>
            </w:r>
          </w:p>
        </w:tc>
        <w:tc>
          <w:tcPr>
            <w:tcW w:type="dxa" w:w="1870"/>
            <w:shd w:fill="1F3864" w:val="clear"/>
            <w:tcMar>
              <w:top w:type="dxa" w:w="80"/>
              <w:left w:type="dxa" w:w="100"/>
              <w:bottom w:type="dxa" w:w="80"/>
              <w:right w:type="dxa" w:w="100"/>
            </w:tcMar>
            <w:vAlign w:val="center"/>
          </w:tcPr>
          <w:p>
            <w:pPr>
              <w:jc w:val="center"/>
            </w:pPr>
            <w:r>
              <w:rPr>
                <w:b/>
                <w:bCs/>
                <w:color w:val="FFFFFF"/>
              </w:rPr>
              <w:t xml:space="preserve">Crítica</w:t>
            </w:r>
          </w:p>
        </w:tc>
        <w:tc>
          <w:tcPr>
            <w:tcW w:type="dxa" w:w="1870"/>
            <w:shd w:fill="1F3864" w:val="clear"/>
            <w:tcMar>
              <w:top w:type="dxa" w:w="80"/>
              <w:left w:type="dxa" w:w="100"/>
              <w:bottom w:type="dxa" w:w="80"/>
              <w:right w:type="dxa" w:w="100"/>
            </w:tcMar>
            <w:vAlign w:val="center"/>
          </w:tcPr>
          <w:p>
            <w:pPr>
              <w:jc w:val="center"/>
            </w:pPr>
            <w:r>
              <w:rPr>
                <w:b/>
                <w:bCs/>
                <w:color w:val="FFFFFF"/>
              </w:rPr>
              <w:t xml:space="preserve">Alta</w:t>
            </w:r>
          </w:p>
        </w:tc>
        <w:tc>
          <w:tcPr>
            <w:tcW w:type="dxa" w:w="1870"/>
            <w:shd w:fill="1F3864" w:val="clear"/>
            <w:tcMar>
              <w:top w:type="dxa" w:w="80"/>
              <w:left w:type="dxa" w:w="100"/>
              <w:bottom w:type="dxa" w:w="80"/>
              <w:right w:type="dxa" w:w="100"/>
            </w:tcMar>
            <w:vAlign w:val="center"/>
          </w:tcPr>
          <w:p>
            <w:pPr>
              <w:jc w:val="center"/>
            </w:pPr>
            <w:r>
              <w:rPr>
                <w:b/>
                <w:bCs/>
                <w:color w:val="FFFFFF"/>
              </w:rPr>
              <w:t xml:space="preserve">Media</w:t>
            </w:r>
          </w:p>
        </w:tc>
        <w:tc>
          <w:tcPr>
            <w:tcW w:type="dxa" w:w="1870"/>
            <w:shd w:fill="1F3864" w:val="clear"/>
            <w:tcMar>
              <w:top w:type="dxa" w:w="80"/>
              <w:left w:type="dxa" w:w="100"/>
              <w:bottom w:type="dxa" w:w="80"/>
              <w:right w:type="dxa" w:w="100"/>
            </w:tcMar>
            <w:vAlign w:val="center"/>
          </w:tcPr>
          <w:p>
            <w:pPr>
              <w:jc w:val="center"/>
            </w:pPr>
            <w:r>
              <w:rPr>
                <w:b/>
                <w:bCs/>
                <w:color w:val="FFFFFF"/>
              </w:rPr>
              <w:t xml:space="preserve">Baja</w:t>
            </w:r>
          </w:p>
        </w:tc>
      </w:tr>
      <w:tr>
        <w:tc>
          <w:tcPr>
            <w:tcW w:type="dxa" w:w="1870"/>
            <w:shd w:fill="FFFFFF" w:val="clear"/>
            <w:tcMar>
              <w:top w:type="dxa" w:w="80"/>
              <w:left w:type="dxa" w:w="100"/>
              <w:bottom w:type="dxa" w:w="80"/>
              <w:right w:type="dxa" w:w="100"/>
            </w:tcMar>
            <w:vAlign w:val="center"/>
          </w:tcPr>
          <w:p>
            <w:pPr>
              <w:jc w:val="left"/>
            </w:pPr>
            <w:r>
              <w:rPr>
                <w:b/>
                <w:bCs/>
                <w:color w:val="000000"/>
              </w:rPr>
              <w:t xml:space="preserve">Producción</w:t>
            </w:r>
          </w:p>
        </w:tc>
        <w:tc>
          <w:tcPr>
            <w:tcW w:type="dxa" w:w="1870"/>
            <w:tcMar>
              <w:top w:type="dxa" w:w="80"/>
              <w:left w:type="dxa" w:w="100"/>
              <w:bottom w:type="dxa" w:w="80"/>
              <w:right w:type="dxa" w:w="100"/>
            </w:tcMar>
            <w:vAlign w:val="center"/>
          </w:tcPr>
          <w:p>
            <w:pPr>
              <w:jc w:val="center"/>
            </w:pPr>
            <w:r>
              <w:rPr>
                <w:b w:val="false"/>
                <w:bCs w:val="false"/>
                <w:color w:val="000000"/>
              </w:rPr>
              <w:t xml:space="preserve">0 permitidas</w:t>
            </w:r>
          </w:p>
        </w:tc>
        <w:tc>
          <w:tcPr>
            <w:tcW w:type="dxa" w:w="1870"/>
            <w:tcMar>
              <w:top w:type="dxa" w:w="80"/>
              <w:left w:type="dxa" w:w="100"/>
              <w:bottom w:type="dxa" w:w="80"/>
              <w:right w:type="dxa" w:w="100"/>
            </w:tcMar>
            <w:vAlign w:val="center"/>
          </w:tcPr>
          <w:p>
            <w:pPr>
              <w:jc w:val="center"/>
            </w:pPr>
            <w:r>
              <w:rPr>
                <w:b w:val="false"/>
                <w:bCs w:val="false"/>
                <w:color w:val="000000"/>
              </w:rPr>
              <w:t xml:space="preserve">0 permitidas</w:t>
            </w:r>
          </w:p>
        </w:tc>
        <w:tc>
          <w:tcPr>
            <w:tcW w:type="dxa" w:w="1870"/>
            <w:tcMar>
              <w:top w:type="dxa" w:w="80"/>
              <w:left w:type="dxa" w:w="100"/>
              <w:bottom w:type="dxa" w:w="80"/>
              <w:right w:type="dxa" w:w="100"/>
            </w:tcMar>
            <w:vAlign w:val="center"/>
          </w:tcPr>
          <w:p>
            <w:pPr>
              <w:jc w:val="center"/>
            </w:pPr>
            <w:r>
              <w:rPr>
                <w:b w:val="false"/>
                <w:bCs w:val="false"/>
                <w:color w:val="000000"/>
              </w:rPr>
              <w:t xml:space="preserve">≤ 5 abiertas con plan</w:t>
            </w:r>
          </w:p>
        </w:tc>
        <w:tc>
          <w:tcPr>
            <w:tcW w:type="dxa" w:w="1870"/>
            <w:tcMar>
              <w:top w:type="dxa" w:w="80"/>
              <w:left w:type="dxa" w:w="100"/>
              <w:bottom w:type="dxa" w:w="80"/>
              <w:right w:type="dxa" w:w="100"/>
            </w:tcMar>
            <w:vAlign w:val="center"/>
          </w:tcPr>
          <w:p>
            <w:pPr>
              <w:jc w:val="center"/>
            </w:pPr>
            <w:r>
              <w:rPr>
                <w:b w:val="false"/>
                <w:bCs w:val="false"/>
                <w:color w:val="000000"/>
              </w:rPr>
              <w:t xml:space="preserve">Sin límite (registrada)</w:t>
            </w:r>
          </w:p>
        </w:tc>
      </w:tr>
      <w:tr>
        <w:tc>
          <w:tcPr>
            <w:tcW w:type="dxa" w:w="1870"/>
            <w:shd w:fill="F2F2F2" w:val="clear"/>
            <w:tcMar>
              <w:top w:type="dxa" w:w="80"/>
              <w:left w:type="dxa" w:w="100"/>
              <w:bottom w:type="dxa" w:w="80"/>
              <w:right w:type="dxa" w:w="100"/>
            </w:tcMar>
            <w:vAlign w:val="center"/>
          </w:tcPr>
          <w:p>
            <w:pPr>
              <w:jc w:val="left"/>
            </w:pPr>
            <w:r>
              <w:rPr>
                <w:b/>
                <w:bCs/>
                <w:color w:val="000000"/>
              </w:rPr>
              <w:t xml:space="preserve">Preproducción</w:t>
            </w:r>
          </w:p>
        </w:tc>
        <w:tc>
          <w:tcPr>
            <w:tcW w:type="dxa" w:w="1870"/>
            <w:tcMar>
              <w:top w:type="dxa" w:w="80"/>
              <w:left w:type="dxa" w:w="100"/>
              <w:bottom w:type="dxa" w:w="80"/>
              <w:right w:type="dxa" w:w="100"/>
            </w:tcMar>
            <w:vAlign w:val="center"/>
          </w:tcPr>
          <w:p>
            <w:pPr>
              <w:jc w:val="center"/>
            </w:pPr>
            <w:r>
              <w:rPr>
                <w:b w:val="false"/>
                <w:bCs w:val="false"/>
                <w:color w:val="000000"/>
              </w:rPr>
              <w:t xml:space="preserve">0 permitidas</w:t>
            </w:r>
          </w:p>
        </w:tc>
        <w:tc>
          <w:tcPr>
            <w:tcW w:type="dxa" w:w="1870"/>
            <w:tcMar>
              <w:top w:type="dxa" w:w="80"/>
              <w:left w:type="dxa" w:w="100"/>
              <w:bottom w:type="dxa" w:w="80"/>
              <w:right w:type="dxa" w:w="100"/>
            </w:tcMar>
            <w:vAlign w:val="center"/>
          </w:tcPr>
          <w:p>
            <w:pPr>
              <w:jc w:val="center"/>
            </w:pPr>
            <w:r>
              <w:rPr>
                <w:b w:val="false"/>
                <w:bCs w:val="false"/>
                <w:color w:val="000000"/>
              </w:rPr>
              <w:t xml:space="preserve">≤ 2 con excepción</w:t>
            </w:r>
          </w:p>
        </w:tc>
        <w:tc>
          <w:tcPr>
            <w:tcW w:type="dxa" w:w="1870"/>
            <w:tcMar>
              <w:top w:type="dxa" w:w="80"/>
              <w:left w:type="dxa" w:w="100"/>
              <w:bottom w:type="dxa" w:w="80"/>
              <w:right w:type="dxa" w:w="100"/>
            </w:tcMar>
            <w:vAlign w:val="center"/>
          </w:tcPr>
          <w:p>
            <w:pPr>
              <w:jc w:val="center"/>
            </w:pPr>
            <w:r>
              <w:rPr>
                <w:b w:val="false"/>
                <w:bCs w:val="false"/>
                <w:color w:val="000000"/>
              </w:rPr>
              <w:t xml:space="preserve">≤ 10 abiertas con plan</w:t>
            </w:r>
          </w:p>
        </w:tc>
        <w:tc>
          <w:tcPr>
            <w:tcW w:type="dxa" w:w="1870"/>
            <w:tcMar>
              <w:top w:type="dxa" w:w="80"/>
              <w:left w:type="dxa" w:w="100"/>
              <w:bottom w:type="dxa" w:w="80"/>
              <w:right w:type="dxa" w:w="100"/>
            </w:tcMar>
            <w:vAlign w:val="center"/>
          </w:tcPr>
          <w:p>
            <w:pPr>
              <w:jc w:val="center"/>
            </w:pPr>
            <w:r>
              <w:rPr>
                <w:b w:val="false"/>
                <w:bCs w:val="false"/>
                <w:color w:val="000000"/>
              </w:rPr>
              <w:t xml:space="preserve">Sin límite (registrada)</w:t>
            </w:r>
          </w:p>
        </w:tc>
      </w:tr>
      <w:tr>
        <w:tc>
          <w:tcPr>
            <w:tcW w:type="dxa" w:w="1870"/>
            <w:shd w:fill="FFFFFF" w:val="clear"/>
            <w:tcMar>
              <w:top w:type="dxa" w:w="80"/>
              <w:left w:type="dxa" w:w="100"/>
              <w:bottom w:type="dxa" w:w="80"/>
              <w:right w:type="dxa" w:w="100"/>
            </w:tcMar>
            <w:vAlign w:val="center"/>
          </w:tcPr>
          <w:p>
            <w:pPr>
              <w:jc w:val="left"/>
            </w:pPr>
            <w:r>
              <w:rPr>
                <w:b/>
                <w:bCs/>
                <w:color w:val="000000"/>
              </w:rPr>
              <w:t xml:space="preserve">Desarrollo</w:t>
            </w:r>
          </w:p>
        </w:tc>
        <w:tc>
          <w:tcPr>
            <w:tcW w:type="dxa" w:w="1870"/>
            <w:tcMar>
              <w:top w:type="dxa" w:w="80"/>
              <w:left w:type="dxa" w:w="100"/>
              <w:bottom w:type="dxa" w:w="80"/>
              <w:right w:type="dxa" w:w="100"/>
            </w:tcMar>
            <w:vAlign w:val="center"/>
          </w:tcPr>
          <w:p>
            <w:pPr>
              <w:jc w:val="center"/>
            </w:pPr>
            <w:r>
              <w:rPr>
                <w:b w:val="false"/>
                <w:bCs w:val="false"/>
                <w:color w:val="000000"/>
              </w:rPr>
              <w:t xml:space="preserve">0 permitidas</w:t>
            </w:r>
          </w:p>
        </w:tc>
        <w:tc>
          <w:tcPr>
            <w:tcW w:type="dxa" w:w="1870"/>
            <w:tcMar>
              <w:top w:type="dxa" w:w="80"/>
              <w:left w:type="dxa" w:w="100"/>
              <w:bottom w:type="dxa" w:w="80"/>
              <w:right w:type="dxa" w:w="100"/>
            </w:tcMar>
            <w:vAlign w:val="center"/>
          </w:tcPr>
          <w:p>
            <w:pPr>
              <w:jc w:val="center"/>
            </w:pPr>
            <w:r>
              <w:rPr>
                <w:b w:val="false"/>
                <w:bCs w:val="false"/>
                <w:color w:val="000000"/>
              </w:rPr>
              <w:t xml:space="preserve">≤ 5 con seguimiento</w:t>
            </w:r>
          </w:p>
        </w:tc>
        <w:tc>
          <w:tcPr>
            <w:tcW w:type="dxa" w:w="1870"/>
            <w:tcMar>
              <w:top w:type="dxa" w:w="80"/>
              <w:left w:type="dxa" w:w="100"/>
              <w:bottom w:type="dxa" w:w="80"/>
              <w:right w:type="dxa" w:w="100"/>
            </w:tcMar>
            <w:vAlign w:val="center"/>
          </w:tcPr>
          <w:p>
            <w:pPr>
              <w:jc w:val="center"/>
            </w:pPr>
            <w:r>
              <w:rPr>
                <w:b w:val="false"/>
                <w:bCs w:val="false"/>
                <w:color w:val="000000"/>
              </w:rPr>
              <w:t xml:space="preserve">Sin límite estricto</w:t>
            </w:r>
          </w:p>
        </w:tc>
        <w:tc>
          <w:tcPr>
            <w:tcW w:type="dxa" w:w="1870"/>
            <w:tcMar>
              <w:top w:type="dxa" w:w="80"/>
              <w:left w:type="dxa" w:w="100"/>
              <w:bottom w:type="dxa" w:w="80"/>
              <w:right w:type="dxa" w:w="100"/>
            </w:tcMar>
            <w:vAlign w:val="center"/>
          </w:tcPr>
          <w:p>
            <w:pPr>
              <w:jc w:val="center"/>
            </w:pPr>
            <w:r>
              <w:rPr>
                <w:b w:val="false"/>
                <w:bCs w:val="false"/>
                <w:color w:val="000000"/>
              </w:rPr>
              <w:t xml:space="preserve">Sin límite (registrada)</w:t>
            </w:r>
          </w:p>
        </w:tc>
      </w:tr>
    </w:tbl>
    <w:p>
      <w:pPr>
        <w:spacing w:after="200" w:line="276"/>
      </w:pPr>
      <w:r>
        <w:t xml:space="preserve">"Con excepción" y "con seguimiento" indican que la tolerancia requiere una excepción de riesgo activa y aprobada conforme al proceso de GOB-001, sección 5.2; en ausencia de dicha aprobación, el umbral aplicable es cero.</w:t>
      </w:r>
    </w:p>
    <w:p>
      <w:pPr>
        <w:pBdr>
          <w:top w:val="single" w:color="BFBFBF" w:sz="4"/>
        </w:pBdr>
        <w:spacing w:before="400"/>
      </w:pPr>
    </w:p>
    <w:p>
      <w:pPr>
        <w:spacing w:before="200"/>
      </w:pPr>
      <w:r>
        <w:rPr>
          <w:i/>
          <w:iCs/>
          <w:color w:val="808080"/>
          <w:sz w:val="18"/>
          <w:szCs w:val="18"/>
        </w:rPr>
        <w:t xml:space="preserve">Fin del documento SEC-001 — Política de Seguridad DevSecOps</w:t>
      </w:r>
    </w:p>
    <w:sectPr>
      <w:headerReference w:type="default" r:id="rId7"/>
      <w:footerReference w:type="default" r:id="rId8"/>
      <w:pgSz w:w="12240" w:h="15840" w:orient="portrait"/>
      <w:pgMar w:top="1440" w:right="1350" w:bottom="144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Página </w:t>
    </w:r>
    <w:r>
      <w:rPr>
        <w:color w:val="808080"/>
        <w:sz w:val="16"/>
        <w:szCs w:val="16"/>
      </w:rPr>
      <w:fldChar w:fldCharType="begin"/>
      <w:instrText xml:space="preserve">PAGE</w:instrText>
      <w:fldChar w:fldCharType="separate"/>
      <w:fldChar w:fldCharType="end"/>
    </w:r>
    <w:r>
      <w:rPr>
        <w:color w:val="808080"/>
        <w:sz w:val="16"/>
        <w:szCs w:val="16"/>
      </w:rPr>
      <w:t xml:space="preserve"> de </w:t>
    </w:r>
    <w:r>
      <w:rPr>
        <w:color w:val="808080"/>
        <w:sz w:val="16"/>
        <w:szCs w:val="16"/>
      </w:rPr>
      <w:fldChar w:fldCharType="begin"/>
      <w:instrText xml:space="preserve">NUMPAGES</w:instrText>
      <w:fldChar w:fldCharType="separate"/>
      <w:fldChar w:fldCharType="end"/>
    </w:r>
    <w:r>
      <w:rPr>
        <w:color w:val="808080"/>
        <w:sz w:val="16"/>
        <w:szCs w:val="16"/>
      </w:rPr>
      <w:t xml:space="preserve">  |  Uso Interno</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pBdr>
      <w:jc w:val="right"/>
    </w:pPr>
    <w:r>
      <w:rPr>
        <w:color w:val="808080"/>
        <w:sz w:val="16"/>
        <w:szCs w:val="16"/>
      </w:rPr>
      <w:t xml:space="preserve">SEC-001 · Política de Seguridad DevSecOps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2026-08-03T11:41:41.538Z</dcterms:created>
  <dcterms:modified xsi:type="dcterms:W3CDTF">2026-08-03T11:41:41.556Z</dcterms:modified>
</cp:coreProperties>
</file>

<file path=docProps/custom.xml><?xml version="1.0" encoding="utf-8"?>
<Properties xmlns="http://schemas.openxmlformats.org/officeDocument/2006/custom-properties" xmlns:vt="http://schemas.openxmlformats.org/officeDocument/2006/docPropsVTypes"/>
</file>