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DD964" w14:textId="7CEA7887" w:rsidR="009F330A" w:rsidRDefault="00851D24" w:rsidP="69FD878C">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Pr>
          <w:rFonts w:ascii="Times New Roman" w:hAnsi="Times New Roman"/>
          <w:b/>
          <w:bCs/>
          <w:shd w:val="clear" w:color="auto" w:fill="FFFFFF"/>
          <w14:textFill>
            <w14:solidFill>
              <w14:srgbClr w14:val="000000">
                <w14:alpha w14:val="15293"/>
              </w14:srgbClr>
            </w14:solidFill>
          </w14:textFill>
        </w:rPr>
        <w:t>Paziente9</w:t>
      </w:r>
      <w:r w:rsidR="69FD878C">
        <w:rPr>
          <w:rFonts w:ascii="Times New Roman" w:hAnsi="Times New Roman"/>
          <w:shd w:val="clear" w:color="auto" w:fill="FFFFFF"/>
          <w14:textFill>
            <w14:solidFill>
              <w14:srgbClr w14:val="000000">
                <w14:alpha w14:val="15293"/>
              </w14:srgbClr>
            </w14:solidFill>
          </w14:textFill>
        </w:rPr>
        <w:t> </w:t>
      </w:r>
    </w:p>
    <w:p w14:paraId="46807E40" w14:textId="1BDB1381" w:rsidR="009F330A" w:rsidRDefault="5800E58E">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sidRPr="69FD878C">
        <w:rPr>
          <w:rFonts w:ascii="Times New Roman" w:eastAsia="Times New Roman" w:hAnsi="Times New Roman" w:cs="Times New Roman"/>
          <w:shd w:val="clear" w:color="auto" w:fill="FFFFFF"/>
          <w14:textFill>
            <w14:solidFill>
              <w14:srgbClr w14:val="000000">
                <w14:alpha w14:val="15293"/>
              </w14:srgbClr>
            </w14:solidFill>
          </w14:textFill>
        </w:rPr>
        <w:t>Le neoplasie polmonari SMARCA4 deficient sono pi</w:t>
      </w:r>
      <w:r w:rsidR="69FD878C"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ù frequenti in soggetti di sesso maschile, con pregressa storia di fumo e in letteratura è stata rilevata ridotta risposta ai trattamenti chemioterapici, con prognosi infausta (mOS 4-7 mesi). La variante espressa in questo caso Gln555Ter è tipica del fenotipo SMARCA4-deficient. </w:t>
      </w:r>
    </w:p>
    <w:p w14:paraId="54B26FA0" w14:textId="0B550F2D" w:rsidR="009F330A" w:rsidRDefault="69FD878C">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Essendo i carcinomi indifferenziati SMARCA4 deficient un’entità rara, in letteratura sono riportati dati discordanti </w:t>
      </w:r>
      <w:r w:rsidR="6E0EAE49" w:rsidRPr="69FD878C">
        <w:rPr>
          <w:rFonts w:ascii="Times New Roman" w:eastAsia="Times New Roman" w:hAnsi="Times New Roman" w:cs="Times New Roman"/>
          <w:shd w:val="clear" w:color="auto" w:fill="FFFFFF"/>
          <w14:textFill>
            <w14:solidFill>
              <w14:srgbClr w14:val="000000">
                <w14:alpha w14:val="15293"/>
              </w14:srgbClr>
            </w14:solidFill>
          </w14:textFill>
        </w:rPr>
        <w:t xml:space="preserve">in merito alla </w:t>
      </w:r>
      <w:r w:rsidRPr="69FD878C">
        <w:rPr>
          <w:rFonts w:ascii="Times New Roman" w:eastAsia="Times New Roman" w:hAnsi="Times New Roman" w:cs="Times New Roman"/>
          <w:shd w:val="clear" w:color="auto" w:fill="FFFFFF"/>
          <w14:textFill>
            <w14:solidFill>
              <w14:srgbClr w14:val="000000">
                <w14:alpha w14:val="15293"/>
              </w14:srgbClr>
            </w14:solidFill>
          </w14:textFill>
        </w:rPr>
        <w:t>risposta a immunoterapia, ma in una serie di 47 pazienti (25 indifferenziati SMARCA4 deficient e 22 casi NSCLC SMARCA4 deficient) l’aggiunta di immunoterapia in prima linea ha dimostrato un vantaggio rispetto alla sola chemioterapia. </w:t>
      </w:r>
    </w:p>
    <w:p w14:paraId="672A6659" w14:textId="77777777" w:rsidR="009F330A" w:rsidRDefault="009F330A" w:rsidP="69FD878C">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p>
    <w:p w14:paraId="5205BAA0" w14:textId="77777777" w:rsidR="009F330A" w:rsidRDefault="69FD878C" w:rsidP="69FD878C">
      <w:pPr>
        <w:pStyle w:val="Didefault"/>
        <w:spacing w:before="0" w:line="240" w:lineRule="auto"/>
        <w:jc w:val="both"/>
        <w:rPr>
          <w:rFonts w:ascii="Times New Roman" w:eastAsia="Times New Roman" w:hAnsi="Times New Roman" w:cs="Times New Roman"/>
          <w:i/>
          <w:iCs/>
          <w:sz w:val="20"/>
          <w:szCs w:val="20"/>
          <w:shd w:val="clear" w:color="auto" w:fill="FFFFFF"/>
          <w14:textFill>
            <w14:solidFill>
              <w14:srgbClr w14:val="000000">
                <w14:alpha w14:val="15293"/>
              </w14:srgbClr>
            </w14:solidFill>
          </w14:textFill>
        </w:rPr>
      </w:pPr>
      <w:r w:rsidRPr="69FD878C">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t xml:space="preserve">Lin Y, Yu B, Sun H, Zhang H, Hu Z, Zhang Y, Wu Z, Sun S, Zhao X, Yu H, Wu X, Li Y, Wang J, Wang H. Promising efficacy of immune checkpoint inhibitor plus chemotherapy for thoracic SMARCA4-deficient undifferentiated tumor. J Cancer Res Clin Oncol. 2023 Sep;149(11):8663-8671. doi: 10.1007/s00432-023-04806-y. Epub 2023 Apr 28. </w:t>
      </w:r>
      <w:r w:rsidRPr="00851D24">
        <w:rPr>
          <w:rFonts w:ascii="Times New Roman" w:eastAsia="Times New Roman" w:hAnsi="Times New Roman" w:cs="Times New Roman"/>
          <w:i/>
          <w:iCs/>
          <w:sz w:val="20"/>
          <w:szCs w:val="20"/>
          <w:shd w:val="clear" w:color="auto" w:fill="FFFFFF"/>
          <w14:textFill>
            <w14:solidFill>
              <w14:srgbClr w14:val="000000">
                <w14:alpha w14:val="15293"/>
              </w14:srgbClr>
            </w14:solidFill>
          </w14:textFill>
        </w:rPr>
        <w:t>PMID: 37115272; PMCID: PMC10374696.</w:t>
      </w:r>
      <w:r w:rsidRPr="69FD878C">
        <w:rPr>
          <w:rFonts w:ascii="Times New Roman" w:eastAsia="Times New Roman" w:hAnsi="Times New Roman" w:cs="Times New Roman"/>
          <w:i/>
          <w:iCs/>
          <w:sz w:val="20"/>
          <w:szCs w:val="20"/>
          <w:shd w:val="clear" w:color="auto" w:fill="FFFFFF"/>
          <w14:textFill>
            <w14:solidFill>
              <w14:srgbClr w14:val="000000">
                <w14:alpha w14:val="15293"/>
              </w14:srgbClr>
            </w14:solidFill>
          </w14:textFill>
        </w:rPr>
        <w:t> </w:t>
      </w:r>
    </w:p>
    <w:p w14:paraId="6E7BEAA2" w14:textId="77777777" w:rsidR="009F330A" w:rsidRDefault="69FD878C" w:rsidP="69FD878C">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sidRPr="69FD878C">
        <w:rPr>
          <w:rFonts w:ascii="Times New Roman" w:eastAsia="Times New Roman" w:hAnsi="Times New Roman" w:cs="Times New Roman"/>
          <w:color w:val="FF0000"/>
          <w:shd w:val="clear" w:color="auto" w:fill="FFFFFF"/>
        </w:rPr>
        <w:t> </w:t>
      </w:r>
    </w:p>
    <w:p w14:paraId="157F58D5" w14:textId="2E53C9B1" w:rsidR="009F330A" w:rsidRDefault="00851D24" w:rsidP="69FD878C">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Pr>
          <w:rFonts w:ascii="Times New Roman" w:eastAsia="Times New Roman" w:hAnsi="Times New Roman" w:cs="Times New Roman"/>
          <w:b/>
          <w:bCs/>
          <w:shd w:val="clear" w:color="auto" w:fill="FFFFFF"/>
          <w:lang w:val="pt-PT"/>
          <w14:textFill>
            <w14:solidFill>
              <w14:srgbClr w14:val="000000">
                <w14:alpha w14:val="15293"/>
              </w14:srgbClr>
            </w14:solidFill>
          </w14:textFill>
        </w:rPr>
        <w:t>Paziente10</w:t>
      </w:r>
    </w:p>
    <w:p w14:paraId="0F8EC86B" w14:textId="2F736AB4" w:rsidR="009F330A" w:rsidRDefault="69FD878C" w:rsidP="69FD878C">
      <w:pPr>
        <w:pStyle w:val="Didefault"/>
        <w:spacing w:before="0" w:line="240" w:lineRule="auto"/>
        <w:jc w:val="both"/>
        <w:rPr>
          <w:rFonts w:ascii="Times New Roman" w:eastAsia="Times New Roman" w:hAnsi="Times New Roman" w:cs="Times New Roman"/>
          <w:i/>
          <w:iCs/>
          <w:color w:val="202528"/>
          <w:sz w:val="20"/>
          <w:szCs w:val="20"/>
        </w:rPr>
      </w:pPr>
      <w:r w:rsidRPr="69FD878C">
        <w:rPr>
          <w:rFonts w:ascii="Times New Roman" w:eastAsia="Times New Roman" w:hAnsi="Times New Roman" w:cs="Times New Roman"/>
          <w:color w:val="212529"/>
          <w:shd w:val="clear" w:color="auto" w:fill="FFFFFF"/>
        </w:rPr>
        <w:t>L’alterazione dell’</w:t>
      </w:r>
      <w:r w:rsidRPr="69FD878C">
        <w:rPr>
          <w:rFonts w:ascii="Times New Roman" w:eastAsia="Times New Roman" w:hAnsi="Times New Roman" w:cs="Times New Roman"/>
          <w:color w:val="212529"/>
          <w:shd w:val="clear" w:color="auto" w:fill="FFFFFF"/>
          <w:lang w:val="pt-PT"/>
        </w:rPr>
        <w:t>esone 19 EGFR L747_A750delinsP</w:t>
      </w:r>
      <w:r w:rsidR="0A42F9B8" w:rsidRPr="69FD878C">
        <w:rPr>
          <w:rFonts w:ascii="Times New Roman" w:eastAsia="Times New Roman" w:hAnsi="Times New Roman" w:cs="Times New Roman"/>
          <w:color w:val="212529"/>
          <w:shd w:val="clear" w:color="auto" w:fill="FFFFFF"/>
          <w:lang w:val="pt-PT"/>
        </w:rPr>
        <w:t xml:space="preserve"> coinvolge il dominio tirosinchinasico del recettore EGFR</w:t>
      </w:r>
      <w:r w:rsidR="2EECC754" w:rsidRPr="69FD878C">
        <w:rPr>
          <w:rFonts w:ascii="Times New Roman" w:eastAsia="Times New Roman" w:hAnsi="Times New Roman" w:cs="Times New Roman"/>
          <w:color w:val="212529"/>
          <w:shd w:val="clear" w:color="auto" w:fill="FFFFFF"/>
          <w:lang w:val="pt-PT"/>
        </w:rPr>
        <w:t xml:space="preserve">, </w:t>
      </w:r>
      <w:r w:rsidR="6F0EE573" w:rsidRPr="69FD878C">
        <w:rPr>
          <w:rFonts w:ascii="Times New Roman" w:eastAsia="Times New Roman" w:hAnsi="Times New Roman" w:cs="Times New Roman"/>
          <w:color w:val="212529"/>
          <w:shd w:val="clear" w:color="auto" w:fill="FFFFFF"/>
          <w:lang w:val="pt-PT"/>
        </w:rPr>
        <w:t>come le più comuni delezioni dell’esone 19</w:t>
      </w:r>
      <w:r w:rsidR="7235368D" w:rsidRPr="69FD878C">
        <w:rPr>
          <w:rFonts w:ascii="Times New Roman" w:eastAsia="Times New Roman" w:hAnsi="Times New Roman" w:cs="Times New Roman"/>
          <w:color w:val="212529"/>
          <w:shd w:val="clear" w:color="auto" w:fill="FFFFFF"/>
          <w:lang w:val="pt-PT"/>
        </w:rPr>
        <w:t>. Dall’utilizzo di</w:t>
      </w:r>
      <w:r w:rsidR="2E112EF4" w:rsidRPr="69FD878C">
        <w:rPr>
          <w:rFonts w:ascii="Times New Roman" w:eastAsia="Times New Roman" w:hAnsi="Times New Roman" w:cs="Times New Roman"/>
          <w:color w:val="212529"/>
          <w:shd w:val="clear" w:color="auto" w:fill="FFFFFF"/>
          <w:lang w:val="pt-PT"/>
        </w:rPr>
        <w:t xml:space="preserve"> tecniche</w:t>
      </w:r>
      <w:r w:rsidRPr="69FD878C">
        <w:rPr>
          <w:rFonts w:ascii="Times New Roman" w:eastAsia="Times New Roman" w:hAnsi="Times New Roman" w:cs="Times New Roman"/>
          <w:color w:val="212529"/>
          <w:shd w:val="clear" w:color="auto" w:fill="FFFFFF"/>
        </w:rPr>
        <w:t xml:space="preserve"> NGS possiamo identificare la specifica alterazione</w:t>
      </w:r>
      <w:r w:rsidR="2A73855B" w:rsidRPr="69FD878C">
        <w:rPr>
          <w:rFonts w:ascii="Times New Roman" w:eastAsia="Times New Roman" w:hAnsi="Times New Roman" w:cs="Times New Roman"/>
          <w:color w:val="212529"/>
          <w:shd w:val="clear" w:color="auto" w:fill="FFFFFF"/>
        </w:rPr>
        <w:t xml:space="preserve"> genica</w:t>
      </w:r>
      <w:r w:rsidRPr="69FD878C">
        <w:rPr>
          <w:rFonts w:ascii="Times New Roman" w:eastAsia="Times New Roman" w:hAnsi="Times New Roman" w:cs="Times New Roman"/>
          <w:color w:val="212529"/>
          <w:shd w:val="clear" w:color="auto" w:fill="FFFFFF"/>
        </w:rPr>
        <w:t>, ma dal punto di vista biologico tutte le delezioni</w:t>
      </w:r>
      <w:r w:rsidR="62B1D428" w:rsidRPr="69FD878C">
        <w:rPr>
          <w:rFonts w:ascii="Times New Roman" w:eastAsia="Times New Roman" w:hAnsi="Times New Roman" w:cs="Times New Roman"/>
          <w:color w:val="212529"/>
          <w:shd w:val="clear" w:color="auto" w:fill="FFFFFF"/>
        </w:rPr>
        <w:t xml:space="preserve"> </w:t>
      </w:r>
      <w:r w:rsidR="34CF2B96" w:rsidRPr="69FD878C">
        <w:rPr>
          <w:rFonts w:ascii="Times New Roman" w:eastAsia="Times New Roman" w:hAnsi="Times New Roman" w:cs="Times New Roman"/>
          <w:color w:val="212529"/>
          <w:shd w:val="clear" w:color="auto" w:fill="FFFFFF"/>
        </w:rPr>
        <w:t xml:space="preserve">(e delins) </w:t>
      </w:r>
      <w:r w:rsidRPr="69FD878C">
        <w:rPr>
          <w:rFonts w:ascii="Times New Roman" w:eastAsia="Times New Roman" w:hAnsi="Times New Roman" w:cs="Times New Roman"/>
          <w:color w:val="212529"/>
          <w:shd w:val="clear" w:color="auto" w:fill="FFFFFF"/>
        </w:rPr>
        <w:t>dell’esone 19 condividono il medesimo significato</w:t>
      </w:r>
      <w:r w:rsidR="1278B72B" w:rsidRPr="69FD878C">
        <w:rPr>
          <w:rFonts w:ascii="Times New Roman" w:eastAsia="Times New Roman" w:hAnsi="Times New Roman" w:cs="Times New Roman"/>
          <w:color w:val="212529"/>
          <w:shd w:val="clear" w:color="auto" w:fill="FFFFFF"/>
        </w:rPr>
        <w:t xml:space="preserve"> e </w:t>
      </w:r>
      <w:r w:rsidR="1278B72B" w:rsidRPr="69FD878C">
        <w:rPr>
          <w:rFonts w:ascii="Times New Roman" w:eastAsia="Times New Roman" w:hAnsi="Times New Roman" w:cs="Times New Roman"/>
          <w:color w:val="202528"/>
          <w:lang w:val="pt-PT"/>
        </w:rPr>
        <w:t>determinano sensibilità agli inibitori tirosinchinasici</w:t>
      </w:r>
      <w:r w:rsidR="189B1570" w:rsidRPr="69FD878C">
        <w:rPr>
          <w:rFonts w:ascii="Times New Roman" w:eastAsia="Times New Roman" w:hAnsi="Times New Roman" w:cs="Times New Roman"/>
          <w:color w:val="212529"/>
          <w:shd w:val="clear" w:color="auto" w:fill="FFFFFF"/>
        </w:rPr>
        <w:t>.</w:t>
      </w:r>
    </w:p>
    <w:p w14:paraId="5B355877" w14:textId="4F20045E" w:rsidR="69FD878C" w:rsidRDefault="69FD878C" w:rsidP="69FD878C">
      <w:pPr>
        <w:pStyle w:val="Didefault"/>
        <w:jc w:val="both"/>
        <w:rPr>
          <w:rFonts w:ascii="Times New Roman" w:eastAsia="Times New Roman" w:hAnsi="Times New Roman" w:cs="Times New Roman"/>
          <w:i/>
          <w:iCs/>
          <w:color w:val="212121"/>
          <w:sz w:val="20"/>
          <w:szCs w:val="20"/>
        </w:rPr>
      </w:pPr>
    </w:p>
    <w:p w14:paraId="24DF0ABF" w14:textId="6FC66302" w:rsidR="2156B95A" w:rsidRPr="00851D24" w:rsidRDefault="2156B95A" w:rsidP="69FD878C">
      <w:pPr>
        <w:pStyle w:val="Didefault"/>
        <w:jc w:val="both"/>
        <w:rPr>
          <w:rFonts w:ascii="Times New Roman" w:eastAsia="Times New Roman" w:hAnsi="Times New Roman" w:cs="Times New Roman"/>
          <w:i/>
          <w:iCs/>
          <w:sz w:val="20"/>
          <w:szCs w:val="20"/>
          <w:lang w:val="en-US"/>
        </w:rPr>
      </w:pPr>
      <w:r w:rsidRPr="00851D24">
        <w:rPr>
          <w:rFonts w:ascii="Times New Roman" w:eastAsia="Times New Roman" w:hAnsi="Times New Roman" w:cs="Times New Roman"/>
          <w:i/>
          <w:iCs/>
          <w:color w:val="212121"/>
          <w:sz w:val="20"/>
          <w:szCs w:val="20"/>
          <w:lang w:val="en-US"/>
        </w:rPr>
        <w:t>Wang Y, Zheng R, Hu P, Zhang Z, Shen S, Li X. Patients harboring uncommon EGFR exon 19 deletion-insertion mutations respond well to first-generation EGFR inhibitors and osimeritinib upon acquisition of T790M. BMC Cancer. 2021 Nov 13;21(1):1215. doi: 10.1186/s12885-021-08942-x. PMID: 34774017; PMCID: PMC8590339.</w:t>
      </w:r>
    </w:p>
    <w:p w14:paraId="63E4A9CD" w14:textId="77777777" w:rsidR="009F330A" w:rsidRPr="00851D24" w:rsidRDefault="69FD878C">
      <w:pPr>
        <w:pStyle w:val="Didefault"/>
        <w:spacing w:before="0" w:line="240" w:lineRule="auto"/>
        <w:rPr>
          <w:rFonts w:ascii="Times New Roman" w:eastAsia="Times New Roman" w:hAnsi="Times New Roman" w:cs="Times New Roman"/>
          <w:shd w:val="clear" w:color="auto" w:fill="FFFFFF"/>
          <w:lang w:val="en-US"/>
          <w14:textFill>
            <w14:solidFill>
              <w14:srgbClr w14:val="000000">
                <w14:alpha w14:val="15293"/>
              </w14:srgbClr>
            </w14:solidFill>
          </w14:textFill>
        </w:rPr>
      </w:pPr>
      <w:r w:rsidRPr="00851D24">
        <w:rPr>
          <w:rFonts w:ascii="Times New Roman" w:eastAsia="Times New Roman" w:hAnsi="Times New Roman" w:cs="Times New Roman"/>
          <w:shd w:val="clear" w:color="auto" w:fill="FFFFFF"/>
          <w:lang w:val="en-US"/>
          <w14:textFill>
            <w14:solidFill>
              <w14:srgbClr w14:val="000000">
                <w14:alpha w14:val="15293"/>
              </w14:srgbClr>
            </w14:solidFill>
          </w14:textFill>
        </w:rPr>
        <w:t> </w:t>
      </w:r>
    </w:p>
    <w:p w14:paraId="118E3D7F" w14:textId="3CFC993B" w:rsidR="009F330A" w:rsidRPr="00851D24" w:rsidRDefault="00851D24">
      <w:pPr>
        <w:pStyle w:val="Didefault"/>
        <w:spacing w:before="0" w:line="240" w:lineRule="auto"/>
        <w:rPr>
          <w:rFonts w:ascii="Times New Roman" w:eastAsia="Times New Roman" w:hAnsi="Times New Roman" w:cs="Times New Roman"/>
          <w:shd w:val="clear" w:color="auto" w:fill="FFFFFF"/>
          <w:lang w:val="en-US"/>
          <w14:textFill>
            <w14:solidFill>
              <w14:srgbClr w14:val="000000">
                <w14:alpha w14:val="15293"/>
              </w14:srgbClr>
            </w14:solidFill>
          </w14:textFill>
        </w:rPr>
      </w:pPr>
      <w:r w:rsidRPr="00851D24">
        <w:rPr>
          <w:rFonts w:ascii="Times New Roman" w:hAnsi="Times New Roman"/>
          <w:b/>
          <w:bCs/>
          <w:shd w:val="clear" w:color="auto" w:fill="FFFFFF"/>
          <w:lang w:val="en-US"/>
          <w14:textFill>
            <w14:solidFill>
              <w14:srgbClr w14:val="000000">
                <w14:alpha w14:val="15293"/>
              </w14:srgbClr>
            </w14:solidFill>
          </w14:textFill>
        </w:rPr>
        <w:t>Paziente11</w:t>
      </w:r>
    </w:p>
    <w:p w14:paraId="0ECAAB67" w14:textId="50A86ABA" w:rsidR="009F330A" w:rsidRDefault="69FD878C" w:rsidP="69FD878C">
      <w:pPr>
        <w:pStyle w:val="Didefault"/>
        <w:spacing w:before="0" w:line="240" w:lineRule="auto"/>
        <w:jc w:val="both"/>
        <w:rPr>
          <w:rFonts w:ascii="Times New Roman" w:eastAsia="Times New Roman" w:hAnsi="Times New Roman" w:cs="Times New Roman"/>
          <w:color w:val="000000" w:themeColor="text1"/>
        </w:rPr>
      </w:pPr>
      <w:r>
        <w:rPr>
          <w:rFonts w:ascii="Times New Roman" w:hAnsi="Times New Roman"/>
          <w:shd w:val="clear" w:color="auto" w:fill="FFFFFF"/>
          <w14:textFill>
            <w14:solidFill>
              <w14:srgbClr w14:val="000000">
                <w14:alpha w14:val="15293"/>
              </w14:srgbClr>
            </w14:solidFill>
          </w14:textFill>
        </w:rPr>
        <w:t>L’alterazione di JAK2 V617F è tipica della policitemia vera e di altre sindromi mieloproliferative. La ricerca di questa alterazione su sangue risultata negativa esclude la probabilità di concomitante patologia mieloproliferativa in questo paziente, insieme alla frequenza allelica del 5% riscontrata in NGS sul tessuto tumorale. Alterazioni di JAK2 sono stata riscontrate di rado anche in neoplasie solide (prevalenza 1% NSCLC) e le mutazioni attivanti come V617F sembrano associate a un</w:t>
      </w:r>
      <w:r w:rsidR="3E2FFA79">
        <w:rPr>
          <w:rFonts w:ascii="Times New Roman" w:hAnsi="Times New Roman"/>
          <w:shd w:val="clear" w:color="auto" w:fill="FFFFFF"/>
          <w14:textFill>
            <w14:solidFill>
              <w14:srgbClr w14:val="000000">
                <w14:alpha w14:val="15293"/>
              </w14:srgbClr>
            </w14:solidFill>
          </w14:textFill>
        </w:rPr>
        <w:t>’ipere</w:t>
      </w:r>
      <w:r>
        <w:rPr>
          <w:rFonts w:ascii="Times New Roman" w:hAnsi="Times New Roman"/>
          <w:shd w:val="clear" w:color="auto" w:fill="FFFFFF"/>
          <w14:textFill>
            <w14:solidFill>
              <w14:srgbClr w14:val="000000">
                <w14:alpha w14:val="15293"/>
              </w14:srgbClr>
            </w14:solidFill>
          </w14:textFill>
        </w:rPr>
        <w:t>spressione di PDL1 (come in questo caso 60%) e conseguente possibile risposta a immunoterapia.</w:t>
      </w:r>
    </w:p>
    <w:p w14:paraId="5C0A815C" w14:textId="77777777" w:rsidR="009F330A" w:rsidRDefault="69FD878C" w:rsidP="69FD878C">
      <w:pPr>
        <w:pStyle w:val="Didefault"/>
        <w:spacing w:before="0" w:line="240" w:lineRule="auto"/>
        <w:jc w:val="both"/>
        <w:rPr>
          <w:rFonts w:ascii="Times New Roman" w:eastAsia="Times New Roman" w:hAnsi="Times New Roman" w:cs="Times New Roman"/>
          <w:color w:val="000000" w:themeColor="text1"/>
        </w:rPr>
      </w:pPr>
      <w:r>
        <w:rPr>
          <w:rFonts w:ascii="Times New Roman" w:hAnsi="Times New Roman"/>
          <w:shd w:val="clear" w:color="auto" w:fill="FFFFFF"/>
          <w14:textFill>
            <w14:solidFill>
              <w14:srgbClr w14:val="000000">
                <w14:alpha w14:val="15293"/>
              </w14:srgbClr>
            </w14:solidFill>
          </w14:textFill>
        </w:rPr>
        <w:t>Tuttavia, i dati in letteratura sono ancora prematuri per stabilire un significato prognostico/predittivo delle alterazioni di JAK2 nei pazienti affetti da neoplasia solida.</w:t>
      </w:r>
    </w:p>
    <w:p w14:paraId="4D667162" w14:textId="5CB86D46" w:rsidR="69FD878C" w:rsidRDefault="69FD878C" w:rsidP="69FD878C">
      <w:pPr>
        <w:pStyle w:val="Didefault"/>
      </w:pPr>
    </w:p>
    <w:p w14:paraId="2C91E6C9" w14:textId="77777777" w:rsidR="009F330A" w:rsidRPr="00851D24" w:rsidRDefault="69FD878C" w:rsidP="69FD878C">
      <w:pPr>
        <w:pStyle w:val="Didefault"/>
        <w:spacing w:before="0" w:line="240" w:lineRule="auto"/>
        <w:jc w:val="both"/>
        <w:rPr>
          <w:rFonts w:ascii="Times New Roman" w:eastAsia="Times New Roman" w:hAnsi="Times New Roman" w:cs="Times New Roman"/>
          <w:i/>
          <w:iCs/>
          <w:sz w:val="20"/>
          <w:szCs w:val="20"/>
          <w:shd w:val="clear" w:color="auto" w:fill="FFFFFF"/>
          <w:lang w:val="en-US"/>
          <w14:textFill>
            <w14:solidFill>
              <w14:srgbClr w14:val="000000">
                <w14:alpha w14:val="15293"/>
              </w14:srgbClr>
            </w14:solidFill>
          </w14:textFill>
        </w:rPr>
      </w:pPr>
      <w:r w:rsidRPr="69FD878C">
        <w:rPr>
          <w:rFonts w:ascii="Times New Roman" w:hAnsi="Times New Roman"/>
          <w:i/>
          <w:iCs/>
          <w:sz w:val="20"/>
          <w:szCs w:val="20"/>
          <w:shd w:val="clear" w:color="auto" w:fill="FFFFFF"/>
          <w:lang w:val="en-US"/>
          <w14:textFill>
            <w14:solidFill>
              <w14:srgbClr w14:val="000000">
                <w14:alpha w14:val="15293"/>
              </w14:srgbClr>
            </w14:solidFill>
          </w14:textFill>
        </w:rPr>
        <w:t>Li et al. Cancer gene profiling in non-small cell lung cancers reveals activating mutations in JAK2 and JAK3 with therapeutic implications.</w:t>
      </w:r>
      <w:r w:rsidRPr="00851D24">
        <w:rPr>
          <w:rFonts w:ascii="Times New Roman" w:hAnsi="Times New Roman"/>
          <w:i/>
          <w:iCs/>
          <w:sz w:val="20"/>
          <w:szCs w:val="20"/>
          <w:shd w:val="clear" w:color="auto" w:fill="FFFFFF"/>
          <w:lang w:val="en-US"/>
          <w14:textFill>
            <w14:solidFill>
              <w14:srgbClr w14:val="000000">
                <w14:alpha w14:val="15293"/>
              </w14:srgbClr>
            </w14:solidFill>
          </w14:textFill>
        </w:rPr>
        <w:t xml:space="preserve">  Genome Medicine (2017) 9:89 </w:t>
      </w:r>
      <w:r w:rsidRPr="69FD878C">
        <w:rPr>
          <w:rFonts w:ascii="Times New Roman" w:hAnsi="Times New Roman"/>
          <w:i/>
          <w:iCs/>
          <w:sz w:val="20"/>
          <w:szCs w:val="20"/>
          <w:shd w:val="clear" w:color="auto" w:fill="FFE5E5"/>
          <w:lang w:val="pt-PT"/>
          <w14:textFill>
            <w14:solidFill>
              <w14:srgbClr w14:val="000000">
                <w14:alpha w14:val="15293"/>
              </w14:srgbClr>
            </w14:solidFill>
          </w14:textFill>
        </w:rPr>
        <w:t>doi</w:t>
      </w:r>
      <w:r w:rsidRPr="00851D24">
        <w:rPr>
          <w:rFonts w:ascii="Times New Roman" w:hAnsi="Times New Roman"/>
          <w:i/>
          <w:iCs/>
          <w:sz w:val="20"/>
          <w:szCs w:val="20"/>
          <w:shd w:val="clear" w:color="auto" w:fill="FFFFFF"/>
          <w:lang w:val="en-US"/>
          <w14:textFill>
            <w14:solidFill>
              <w14:srgbClr w14:val="000000">
                <w14:alpha w14:val="15293"/>
              </w14:srgbClr>
            </w14:solidFill>
          </w14:textFill>
        </w:rPr>
        <w:t xml:space="preserve"> 10.1186/s13073-017-0478-1 </w:t>
      </w:r>
    </w:p>
    <w:p w14:paraId="02EB378F" w14:textId="77777777" w:rsidR="009F330A" w:rsidRPr="00851D24" w:rsidRDefault="009F330A">
      <w:pPr>
        <w:pStyle w:val="Didefault"/>
        <w:spacing w:before="0" w:line="240" w:lineRule="auto"/>
        <w:jc w:val="both"/>
        <w:rPr>
          <w:rFonts w:ascii="Times New Roman" w:eastAsia="Times New Roman" w:hAnsi="Times New Roman" w:cs="Times New Roman"/>
          <w:sz w:val="20"/>
          <w:szCs w:val="20"/>
          <w:shd w:val="clear" w:color="auto" w:fill="FFFFFF"/>
          <w:lang w:val="en-US"/>
          <w14:textFill>
            <w14:solidFill>
              <w14:srgbClr w14:val="000000">
                <w14:alpha w14:val="15293"/>
              </w14:srgbClr>
            </w14:solidFill>
          </w14:textFill>
        </w:rPr>
      </w:pPr>
    </w:p>
    <w:p w14:paraId="1BCF5F8F" w14:textId="309699EB" w:rsidR="44528DFB" w:rsidRDefault="44528DFB" w:rsidP="69FD878C">
      <w:pPr>
        <w:pStyle w:val="Didefault"/>
        <w:rPr>
          <w:rFonts w:ascii="Times New Roman" w:hAnsi="Times New Roman"/>
          <w:i/>
          <w:iCs/>
          <w:color w:val="000000" w:themeColor="text1"/>
          <w:sz w:val="20"/>
          <w:szCs w:val="20"/>
        </w:rPr>
      </w:pPr>
      <w:r w:rsidRPr="00851D24">
        <w:rPr>
          <w:rFonts w:ascii="Times New Roman" w:hAnsi="Times New Roman"/>
          <w:i/>
          <w:iCs/>
          <w:color w:val="000000" w:themeColor="text1"/>
          <w:sz w:val="20"/>
          <w:szCs w:val="20"/>
          <w:lang w:val="en-US"/>
        </w:rPr>
        <w:t xml:space="preserve">Hundal J, Lopetegui-Lia N, Vredenburgh J (June 13, 2022) Discovery, Significance, and Utility of JAK2 Mutation in Squamous Cell Carcinoma of the Lung. </w:t>
      </w:r>
      <w:r w:rsidRPr="69FD878C">
        <w:rPr>
          <w:rFonts w:ascii="Times New Roman" w:hAnsi="Times New Roman"/>
          <w:i/>
          <w:iCs/>
          <w:color w:val="000000" w:themeColor="text1"/>
          <w:sz w:val="20"/>
          <w:szCs w:val="20"/>
        </w:rPr>
        <w:t>Cureus 14(6): e25913. doi:10.7759/cureus.25913</w:t>
      </w:r>
    </w:p>
    <w:p w14:paraId="4F6584BE" w14:textId="77777777" w:rsidR="009F330A" w:rsidRDefault="00000000">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Pr>
          <w:rFonts w:ascii="Times New Roman" w:hAnsi="Times New Roman"/>
          <w:color w:val="FF0000"/>
          <w:shd w:val="clear" w:color="auto" w:fill="FFFFFF"/>
        </w:rPr>
        <w:t> </w:t>
      </w:r>
    </w:p>
    <w:p w14:paraId="59D6275E" w14:textId="15E3BCA1" w:rsidR="009F330A" w:rsidRDefault="00851D24">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Pr>
          <w:rFonts w:ascii="Times New Roman" w:hAnsi="Times New Roman"/>
          <w:b/>
          <w:bCs/>
          <w:shd w:val="clear" w:color="auto" w:fill="FFFFFF"/>
          <w14:textFill>
            <w14:solidFill>
              <w14:srgbClr w14:val="000000">
                <w14:alpha w14:val="15293"/>
              </w14:srgbClr>
            </w14:solidFill>
          </w14:textFill>
        </w:rPr>
        <w:t>Paziente12</w:t>
      </w:r>
    </w:p>
    <w:p w14:paraId="64FC6699" w14:textId="762FD64F" w:rsidR="009F330A" w:rsidRDefault="69FD878C">
      <w:pPr>
        <w:pStyle w:val="Didefault"/>
        <w:spacing w:before="0" w:line="240" w:lineRule="auto"/>
        <w:jc w:val="both"/>
        <w:rPr>
          <w:rFonts w:ascii="Times New Roman" w:eastAsia="Times New Roman" w:hAnsi="Times New Roman" w:cs="Times New Roman"/>
          <w:shd w:val="clear" w:color="auto" w:fill="FFFFFF"/>
        </w:rPr>
      </w:pPr>
      <w:r>
        <w:rPr>
          <w:rFonts w:ascii="Times New Roman" w:hAnsi="Times New Roman"/>
          <w:shd w:val="clear" w:color="auto" w:fill="FFFFFF"/>
          <w14:textFill>
            <w14:solidFill>
              <w14:srgbClr w14:val="000000">
                <w14:alpha w14:val="15293"/>
              </w14:srgbClr>
            </w14:solidFill>
          </w14:textFill>
        </w:rPr>
        <w:t>La variante</w:t>
      </w:r>
      <w:r w:rsidR="1A883493">
        <w:rPr>
          <w:rFonts w:ascii="Times New Roman" w:hAnsi="Times New Roman"/>
          <w:shd w:val="clear" w:color="auto" w:fill="FFFFFF"/>
          <w14:textFill>
            <w14:solidFill>
              <w14:srgbClr w14:val="000000">
                <w14:alpha w14:val="15293"/>
              </w14:srgbClr>
            </w14:solidFill>
          </w14:textFill>
        </w:rPr>
        <w:t xml:space="preserve"> di EGFR </w:t>
      </w:r>
      <w:r>
        <w:rPr>
          <w:rFonts w:ascii="Times New Roman" w:hAnsi="Times New Roman"/>
          <w:shd w:val="clear" w:color="auto" w:fill="FFFFFF"/>
          <w14:textFill>
            <w14:solidFill>
              <w14:srgbClr w14:val="000000">
                <w14:alpha w14:val="15293"/>
              </w14:srgbClr>
            </w14:solidFill>
          </w14:textFill>
        </w:rPr>
        <w:t>espressa risulta essere un</w:t>
      </w:r>
      <w:r w:rsidR="4629A7A8">
        <w:rPr>
          <w:rFonts w:ascii="Times New Roman" w:hAnsi="Times New Roman"/>
          <w:shd w:val="clear" w:color="auto" w:fill="FFFFFF"/>
          <w14:textFill>
            <w14:solidFill>
              <w14:srgbClr w14:val="000000">
                <w14:alpha w14:val="15293"/>
              </w14:srgbClr>
            </w14:solidFill>
          </w14:textFill>
        </w:rPr>
        <w:t>’</w:t>
      </w:r>
      <w:r>
        <w:rPr>
          <w:rFonts w:ascii="Times New Roman" w:hAnsi="Times New Roman"/>
          <w:shd w:val="clear" w:color="auto" w:fill="FFFFFF"/>
          <w14:textFill>
            <w14:solidFill>
              <w14:srgbClr w14:val="000000">
                <w14:alpha w14:val="15293"/>
              </w14:srgbClr>
            </w14:solidFill>
          </w14:textFill>
        </w:rPr>
        <w:t xml:space="preserve">alterazione rara, da considerarsi dal punto di vista biologico come inserzione dell’esone 20. Per le alterazioni dell’esone 20 di EGFR al momento esiste una terapia di precisione approvata in </w:t>
      </w:r>
      <w:r w:rsidR="79DAA72B">
        <w:rPr>
          <w:rFonts w:ascii="Times New Roman" w:hAnsi="Times New Roman"/>
          <w:shd w:val="clear" w:color="auto" w:fill="FFFFFF"/>
          <w14:textFill>
            <w14:solidFill>
              <w14:srgbClr w14:val="000000">
                <w14:alpha w14:val="15293"/>
              </w14:srgbClr>
            </w14:solidFill>
          </w14:textFill>
        </w:rPr>
        <w:t>seconda</w:t>
      </w:r>
      <w:r>
        <w:rPr>
          <w:rFonts w:ascii="Times New Roman" w:hAnsi="Times New Roman"/>
          <w:shd w:val="clear" w:color="auto" w:fill="FFFFFF"/>
          <w14:textFill>
            <w14:solidFill>
              <w14:srgbClr w14:val="000000">
                <w14:alpha w14:val="15293"/>
              </w14:srgbClr>
            </w14:solidFill>
          </w14:textFill>
        </w:rPr>
        <w:t xml:space="preserve"> linea (Amivantamab), ma le comorbidità di questo paziente non consentono di eseguire la prima linea standard con chemioterapia a bas</w:t>
      </w:r>
      <w:r>
        <w:rPr>
          <w:rFonts w:ascii="Times New Roman" w:hAnsi="Times New Roman"/>
          <w:shd w:val="clear" w:color="auto" w:fill="FFFFFF"/>
        </w:rPr>
        <w:t>e di platino. Da alcuni lavori emerge una potenziale sensibilità agli inibitori tirosinchinasici di seconda generazione anche se i dati sono basati su una casistica limitata.</w:t>
      </w:r>
    </w:p>
    <w:p w14:paraId="6A05A809" w14:textId="77777777" w:rsidR="009F330A" w:rsidRDefault="009F330A">
      <w:pPr>
        <w:pStyle w:val="Didefault"/>
        <w:spacing w:before="0" w:line="240" w:lineRule="auto"/>
        <w:jc w:val="both"/>
        <w:rPr>
          <w:rFonts w:ascii="Times New Roman" w:eastAsia="Times New Roman" w:hAnsi="Times New Roman" w:cs="Times New Roman"/>
          <w:shd w:val="clear" w:color="auto" w:fill="FFFFFF"/>
        </w:rPr>
      </w:pPr>
    </w:p>
    <w:p w14:paraId="1D04F842" w14:textId="7F2ADC36" w:rsidR="009F330A" w:rsidRPr="00851D24" w:rsidRDefault="04EC75AF" w:rsidP="69FD878C">
      <w:pPr>
        <w:pStyle w:val="Didefault"/>
        <w:spacing w:before="0" w:line="240" w:lineRule="auto"/>
        <w:jc w:val="both"/>
        <w:rPr>
          <w:rFonts w:ascii="Times New Roman" w:hAnsi="Times New Roman"/>
          <w:sz w:val="20"/>
          <w:szCs w:val="20"/>
          <w:lang w:val="en-US"/>
        </w:rPr>
      </w:pPr>
      <w:r w:rsidRPr="00851D24">
        <w:rPr>
          <w:rFonts w:ascii="Times New Roman" w:hAnsi="Times New Roman"/>
          <w:i/>
          <w:iCs/>
          <w:color w:val="000000" w:themeColor="text1"/>
          <w:sz w:val="20"/>
          <w:szCs w:val="20"/>
          <w:lang w:val="en-US"/>
        </w:rPr>
        <w:lastRenderedPageBreak/>
        <w:t>Mountzios G, Planchard D, Lo Russo G et al. Molecular Epidemiology and Treatment Patterns of Patients With EGFR Exon 20-Mutant NSCLC in the Precision Oncology Era: The European EXOTIC Registry. JTO Clin Res Rep. 2022 Nov 20;4(1):100433. doi: 10.1016/j.jtocrr.2022.100433. PMID: 36793384; PMCID: PMC9923191.</w:t>
      </w:r>
    </w:p>
    <w:sectPr w:rsidR="009F330A" w:rsidRPr="00851D24">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33D5A" w14:textId="77777777" w:rsidR="00F473B1" w:rsidRDefault="00F473B1">
      <w:r>
        <w:separator/>
      </w:r>
    </w:p>
  </w:endnote>
  <w:endnote w:type="continuationSeparator" w:id="0">
    <w:p w14:paraId="2428383C" w14:textId="77777777" w:rsidR="00F473B1" w:rsidRDefault="00F47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8F396" w14:textId="77777777" w:rsidR="009F330A" w:rsidRDefault="009F33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CA388" w14:textId="77777777" w:rsidR="00F473B1" w:rsidRDefault="00F473B1">
      <w:r>
        <w:separator/>
      </w:r>
    </w:p>
  </w:footnote>
  <w:footnote w:type="continuationSeparator" w:id="0">
    <w:p w14:paraId="5FF04C1D" w14:textId="77777777" w:rsidR="00F473B1" w:rsidRDefault="00F47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BBE3" w14:textId="77777777" w:rsidR="009F330A" w:rsidRDefault="009F33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0FCD65"/>
    <w:multiLevelType w:val="hybridMultilevel"/>
    <w:tmpl w:val="D564FB2A"/>
    <w:lvl w:ilvl="0" w:tplc="3D02E03A">
      <w:start w:val="1"/>
      <w:numFmt w:val="bullet"/>
      <w:lvlText w:val=""/>
      <w:lvlJc w:val="left"/>
      <w:pPr>
        <w:ind w:left="720" w:hanging="360"/>
      </w:pPr>
      <w:rPr>
        <w:rFonts w:ascii="Symbol" w:hAnsi="Symbol" w:hint="default"/>
      </w:rPr>
    </w:lvl>
    <w:lvl w:ilvl="1" w:tplc="913A0320">
      <w:start w:val="1"/>
      <w:numFmt w:val="bullet"/>
      <w:lvlText w:val="o"/>
      <w:lvlJc w:val="left"/>
      <w:pPr>
        <w:ind w:left="1440" w:hanging="360"/>
      </w:pPr>
      <w:rPr>
        <w:rFonts w:ascii="Courier New" w:hAnsi="Courier New" w:hint="default"/>
      </w:rPr>
    </w:lvl>
    <w:lvl w:ilvl="2" w:tplc="54BC40BA">
      <w:start w:val="1"/>
      <w:numFmt w:val="bullet"/>
      <w:lvlText w:val=""/>
      <w:lvlJc w:val="left"/>
      <w:pPr>
        <w:ind w:left="2160" w:hanging="360"/>
      </w:pPr>
      <w:rPr>
        <w:rFonts w:ascii="Wingdings" w:hAnsi="Wingdings" w:hint="default"/>
      </w:rPr>
    </w:lvl>
    <w:lvl w:ilvl="3" w:tplc="6F6E6E32">
      <w:start w:val="1"/>
      <w:numFmt w:val="bullet"/>
      <w:lvlText w:val=""/>
      <w:lvlJc w:val="left"/>
      <w:pPr>
        <w:ind w:left="2880" w:hanging="360"/>
      </w:pPr>
      <w:rPr>
        <w:rFonts w:ascii="Symbol" w:hAnsi="Symbol" w:hint="default"/>
      </w:rPr>
    </w:lvl>
    <w:lvl w:ilvl="4" w:tplc="E9D661F2">
      <w:start w:val="1"/>
      <w:numFmt w:val="bullet"/>
      <w:lvlText w:val="o"/>
      <w:lvlJc w:val="left"/>
      <w:pPr>
        <w:ind w:left="3600" w:hanging="360"/>
      </w:pPr>
      <w:rPr>
        <w:rFonts w:ascii="Courier New" w:hAnsi="Courier New" w:hint="default"/>
      </w:rPr>
    </w:lvl>
    <w:lvl w:ilvl="5" w:tplc="D7FA0F1A">
      <w:start w:val="1"/>
      <w:numFmt w:val="bullet"/>
      <w:lvlText w:val=""/>
      <w:lvlJc w:val="left"/>
      <w:pPr>
        <w:ind w:left="4320" w:hanging="360"/>
      </w:pPr>
      <w:rPr>
        <w:rFonts w:ascii="Wingdings" w:hAnsi="Wingdings" w:hint="default"/>
      </w:rPr>
    </w:lvl>
    <w:lvl w:ilvl="6" w:tplc="B7C47184">
      <w:start w:val="1"/>
      <w:numFmt w:val="bullet"/>
      <w:lvlText w:val=""/>
      <w:lvlJc w:val="left"/>
      <w:pPr>
        <w:ind w:left="5040" w:hanging="360"/>
      </w:pPr>
      <w:rPr>
        <w:rFonts w:ascii="Symbol" w:hAnsi="Symbol" w:hint="default"/>
      </w:rPr>
    </w:lvl>
    <w:lvl w:ilvl="7" w:tplc="70AE2A90">
      <w:start w:val="1"/>
      <w:numFmt w:val="bullet"/>
      <w:lvlText w:val="o"/>
      <w:lvlJc w:val="left"/>
      <w:pPr>
        <w:ind w:left="5760" w:hanging="360"/>
      </w:pPr>
      <w:rPr>
        <w:rFonts w:ascii="Courier New" w:hAnsi="Courier New" w:hint="default"/>
      </w:rPr>
    </w:lvl>
    <w:lvl w:ilvl="8" w:tplc="468CFF48">
      <w:start w:val="1"/>
      <w:numFmt w:val="bullet"/>
      <w:lvlText w:val=""/>
      <w:lvlJc w:val="left"/>
      <w:pPr>
        <w:ind w:left="6480" w:hanging="360"/>
      </w:pPr>
      <w:rPr>
        <w:rFonts w:ascii="Wingdings" w:hAnsi="Wingdings" w:hint="default"/>
      </w:rPr>
    </w:lvl>
  </w:abstractNum>
  <w:num w:numId="1" w16cid:durableId="134416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C"/>
    <w:rsid w:val="0072497C"/>
    <w:rsid w:val="0078781E"/>
    <w:rsid w:val="00851D24"/>
    <w:rsid w:val="009F330A"/>
    <w:rsid w:val="00F473B1"/>
    <w:rsid w:val="04EC75AF"/>
    <w:rsid w:val="0524D888"/>
    <w:rsid w:val="071C9C2B"/>
    <w:rsid w:val="078A08A8"/>
    <w:rsid w:val="08B86C8C"/>
    <w:rsid w:val="0A42F9B8"/>
    <w:rsid w:val="0ECBBACE"/>
    <w:rsid w:val="12035B90"/>
    <w:rsid w:val="1278B72B"/>
    <w:rsid w:val="164F09E4"/>
    <w:rsid w:val="189B1570"/>
    <w:rsid w:val="1A883493"/>
    <w:rsid w:val="2156B95A"/>
    <w:rsid w:val="26C32494"/>
    <w:rsid w:val="2877C275"/>
    <w:rsid w:val="2A73855B"/>
    <w:rsid w:val="2E112EF4"/>
    <w:rsid w:val="2EECC754"/>
    <w:rsid w:val="2FB9749B"/>
    <w:rsid w:val="31D24E21"/>
    <w:rsid w:val="34CF2B96"/>
    <w:rsid w:val="365185BC"/>
    <w:rsid w:val="3972B59E"/>
    <w:rsid w:val="3E2FFA79"/>
    <w:rsid w:val="425F2BB9"/>
    <w:rsid w:val="44528DFB"/>
    <w:rsid w:val="4629A7A8"/>
    <w:rsid w:val="50E92662"/>
    <w:rsid w:val="52C007EE"/>
    <w:rsid w:val="534FEA19"/>
    <w:rsid w:val="5800E58E"/>
    <w:rsid w:val="5F4297B4"/>
    <w:rsid w:val="605CC6A2"/>
    <w:rsid w:val="622E1E4A"/>
    <w:rsid w:val="62B1D428"/>
    <w:rsid w:val="69FD878C"/>
    <w:rsid w:val="6C84FB84"/>
    <w:rsid w:val="6E0EAE49"/>
    <w:rsid w:val="6F0EE573"/>
    <w:rsid w:val="70DB6382"/>
    <w:rsid w:val="71CF2675"/>
    <w:rsid w:val="7235368D"/>
    <w:rsid w:val="74E45189"/>
    <w:rsid w:val="7506C737"/>
    <w:rsid w:val="79DAA72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AB2220B"/>
  <w15:docId w15:val="{8C9ACCC9-E829-45B9-B1EC-2159C6F5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idefault">
    <w:name w:val="Di default"/>
    <w:pPr>
      <w:spacing w:before="160" w:line="288" w:lineRule="auto"/>
    </w:pPr>
    <w:rPr>
      <w:rFonts w:ascii="Helvetica Neue" w:hAnsi="Helvetica Neue" w:cs="Arial Unicode MS"/>
      <w:color w:val="000000"/>
      <w:sz w:val="24"/>
      <w:szCs w:val="24"/>
      <w:lang w:val="it-IT"/>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BUCCI GABRIELE</cp:lastModifiedBy>
  <cp:revision>2</cp:revision>
  <dcterms:created xsi:type="dcterms:W3CDTF">2025-07-11T08:39:00Z</dcterms:created>
  <dcterms:modified xsi:type="dcterms:W3CDTF">2025-07-11T08:40:00Z</dcterms:modified>
</cp:coreProperties>
</file>