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A744B" w14:textId="77777777" w:rsidR="00CB63CE" w:rsidRPr="00C21FE1" w:rsidRDefault="00CB63CE" w:rsidP="00CB63CE">
      <w:pPr>
        <w:pStyle w:val="Didefault"/>
        <w:spacing w:before="0" w:line="240" w:lineRule="auto"/>
        <w:rPr>
          <w:rFonts w:ascii="Times New Roman" w:eastAsia="Times New Roman" w:hAnsi="Times New Roman" w:cs="Times New Roman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</w:pPr>
      <w:r w:rsidRPr="00C21FE1">
        <w:rPr>
          <w:rFonts w:ascii="Times New Roman" w:hAnsi="Times New Roman"/>
          <w:b/>
          <w:bCs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  <w:t>Paziente11</w:t>
      </w:r>
    </w:p>
    <w:p w14:paraId="7FAC46C5" w14:textId="77777777" w:rsidR="00CB63CE" w:rsidRDefault="00CB63CE" w:rsidP="00CB63CE">
      <w:pPr>
        <w:pStyle w:val="Didefault"/>
        <w:spacing w:before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hAnsi="Times New Roman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  <w:t>L’alterazione di JAK2 V617F è tipica della policitemia vera e di altre sindromi mieloproliferative. La ricerca di questa alterazione su sangue risultata negativa esclude la probabilità di concomitante patologia mieloproliferativa in questo paziente, insieme alla frequenza allelica del 5% riscontrata in NGS sul tessuto tumorale. Alterazioni di JAK2 sono stata riscontrate di rado anche in neoplasie solide (prevalenza 1% NSCLC) e le mutazioni attivanti come V617F sembrano associate a un’</w:t>
      </w:r>
      <w:proofErr w:type="spellStart"/>
      <w:r>
        <w:rPr>
          <w:rFonts w:ascii="Times New Roman" w:hAnsi="Times New Roman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  <w:t>iperespressione</w:t>
      </w:r>
      <w:proofErr w:type="spellEnd"/>
      <w:r>
        <w:rPr>
          <w:rFonts w:ascii="Times New Roman" w:hAnsi="Times New Roman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di PDL1 (come in questo caso 60%) e conseguente possibile risposta a immunoterapia.</w:t>
      </w:r>
    </w:p>
    <w:p w14:paraId="0F23F87E" w14:textId="77777777" w:rsidR="00CB63CE" w:rsidRDefault="00CB63CE" w:rsidP="00CB63CE">
      <w:pPr>
        <w:pStyle w:val="Didefault"/>
        <w:spacing w:before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hAnsi="Times New Roman"/>
          <w:shd w:val="clear" w:color="auto" w:fill="FFFFFF"/>
          <w14:textFill>
            <w14:solidFill>
              <w14:srgbClr w14:val="000000">
                <w14:alpha w14:val="15293"/>
              </w14:srgbClr>
            </w14:solidFill>
          </w14:textFill>
        </w:rPr>
        <w:t>Tuttavia, i dati in letteratura sono ancora prematuri per stabilire un significato prognostico/predittivo delle alterazioni di JAK2 nei pazienti affetti da neoplasia solida.</w:t>
      </w:r>
    </w:p>
    <w:p w14:paraId="7200B617" w14:textId="77777777" w:rsidR="00CB63CE" w:rsidRDefault="00CB63CE" w:rsidP="00CB63CE">
      <w:pPr>
        <w:pStyle w:val="Didefault"/>
      </w:pPr>
    </w:p>
    <w:p w14:paraId="205672AA" w14:textId="77777777" w:rsidR="00CB63CE" w:rsidRPr="00851D24" w:rsidRDefault="00CB63CE" w:rsidP="00CB63CE">
      <w:pPr>
        <w:pStyle w:val="Didefault"/>
        <w:spacing w:before="0" w:line="240" w:lineRule="auto"/>
        <w:jc w:val="both"/>
        <w:rPr>
          <w:rFonts w:ascii="Times New Roman" w:eastAsia="Times New Roman" w:hAnsi="Times New Roman" w:cs="Times New Roman"/>
          <w:i/>
          <w:iCs/>
          <w:sz w:val="20"/>
          <w:szCs w:val="20"/>
          <w:shd w:val="clear" w:color="auto" w:fill="FFFFFF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</w:pPr>
      <w:r w:rsidRPr="69FD878C">
        <w:rPr>
          <w:rFonts w:ascii="Times New Roman" w:hAnsi="Times New Roman"/>
          <w:i/>
          <w:iCs/>
          <w:sz w:val="20"/>
          <w:szCs w:val="20"/>
          <w:shd w:val="clear" w:color="auto" w:fill="FFFFFF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Li et al. Cancer gene profiling in non-small cell lung cancers reveals activating mutations in JAK2 and JAK3 with therapeutic implications.</w:t>
      </w:r>
      <w:r w:rsidRPr="00851D24">
        <w:rPr>
          <w:rFonts w:ascii="Times New Roman" w:hAnsi="Times New Roman"/>
          <w:i/>
          <w:iCs/>
          <w:sz w:val="20"/>
          <w:szCs w:val="20"/>
          <w:shd w:val="clear" w:color="auto" w:fill="FFFFFF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  Genome Medicine (2017) 9:89 </w:t>
      </w:r>
      <w:r w:rsidRPr="69FD878C">
        <w:rPr>
          <w:rFonts w:ascii="Times New Roman" w:hAnsi="Times New Roman"/>
          <w:i/>
          <w:iCs/>
          <w:sz w:val="20"/>
          <w:szCs w:val="20"/>
          <w:shd w:val="clear" w:color="auto" w:fill="FFE5E5"/>
          <w:lang w:val="pt-PT"/>
          <w14:textFill>
            <w14:solidFill>
              <w14:srgbClr w14:val="000000">
                <w14:alpha w14:val="15293"/>
              </w14:srgbClr>
            </w14:solidFill>
          </w14:textFill>
        </w:rPr>
        <w:t>doi</w:t>
      </w:r>
      <w:r w:rsidRPr="00851D24">
        <w:rPr>
          <w:rFonts w:ascii="Times New Roman" w:hAnsi="Times New Roman"/>
          <w:i/>
          <w:iCs/>
          <w:sz w:val="20"/>
          <w:szCs w:val="20"/>
          <w:shd w:val="clear" w:color="auto" w:fill="FFFFFF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10.1186/s13073-017-0478-1 </w:t>
      </w:r>
    </w:p>
    <w:p w14:paraId="2F79A339" w14:textId="77777777" w:rsidR="00CB63CE" w:rsidRPr="00851D24" w:rsidRDefault="00CB63CE" w:rsidP="00CB63CE">
      <w:pPr>
        <w:pStyle w:val="Didefault"/>
        <w:spacing w:before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 w14:paraId="687795C6" w14:textId="77777777" w:rsidR="00CB63CE" w:rsidRDefault="00CB63CE" w:rsidP="00CB63CE">
      <w:pPr>
        <w:pStyle w:val="Didefault"/>
        <w:rPr>
          <w:rFonts w:ascii="Times New Roman" w:hAnsi="Times New Roman"/>
          <w:i/>
          <w:iCs/>
          <w:color w:val="000000" w:themeColor="text1"/>
          <w:sz w:val="20"/>
          <w:szCs w:val="20"/>
        </w:rPr>
      </w:pPr>
      <w:r w:rsidRPr="00851D24">
        <w:rPr>
          <w:rFonts w:ascii="Times New Roman" w:hAnsi="Times New Roman"/>
          <w:i/>
          <w:iCs/>
          <w:color w:val="000000" w:themeColor="text1"/>
          <w:sz w:val="20"/>
          <w:szCs w:val="20"/>
          <w:lang w:val="en-US"/>
        </w:rPr>
        <w:t xml:space="preserve">Hundal J, Lopetegui-Lia N, Vredenburgh J (June 13, 2022) Discovery, Significance, and Utility of JAK2 Mutation in Squamous Cell Carcinoma of the Lung. </w:t>
      </w:r>
      <w:proofErr w:type="spellStart"/>
      <w:r w:rsidRPr="69FD878C">
        <w:rPr>
          <w:rFonts w:ascii="Times New Roman" w:hAnsi="Times New Roman"/>
          <w:i/>
          <w:iCs/>
          <w:color w:val="000000" w:themeColor="text1"/>
          <w:sz w:val="20"/>
          <w:szCs w:val="20"/>
        </w:rPr>
        <w:t>Cureus</w:t>
      </w:r>
      <w:proofErr w:type="spellEnd"/>
      <w:r w:rsidRPr="69FD878C">
        <w:rPr>
          <w:rFonts w:ascii="Times New Roman" w:hAnsi="Times New Roman"/>
          <w:i/>
          <w:iCs/>
          <w:color w:val="000000" w:themeColor="text1"/>
          <w:sz w:val="20"/>
          <w:szCs w:val="20"/>
        </w:rPr>
        <w:t xml:space="preserve"> 14(6): e25913. </w:t>
      </w:r>
      <w:proofErr w:type="gramStart"/>
      <w:r w:rsidRPr="69FD878C">
        <w:rPr>
          <w:rFonts w:ascii="Times New Roman" w:hAnsi="Times New Roman"/>
          <w:i/>
          <w:iCs/>
          <w:color w:val="000000" w:themeColor="text1"/>
          <w:sz w:val="20"/>
          <w:szCs w:val="20"/>
        </w:rPr>
        <w:t>doi:10.7759</w:t>
      </w:r>
      <w:proofErr w:type="gramEnd"/>
      <w:r w:rsidRPr="69FD878C">
        <w:rPr>
          <w:rFonts w:ascii="Times New Roman" w:hAnsi="Times New Roman"/>
          <w:i/>
          <w:iCs/>
          <w:color w:val="000000" w:themeColor="text1"/>
          <w:sz w:val="20"/>
          <w:szCs w:val="20"/>
        </w:rPr>
        <w:t>/cureus.25913</w:t>
      </w:r>
    </w:p>
    <w:p w14:paraId="5EA04AD5" w14:textId="77777777" w:rsidR="005A7A7D" w:rsidRDefault="005A7A7D"/>
    <w:sectPr w:rsidR="005A7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3CE"/>
    <w:rsid w:val="005646B9"/>
    <w:rsid w:val="005A7A7D"/>
    <w:rsid w:val="00BD1FFF"/>
    <w:rsid w:val="00CB63CE"/>
    <w:rsid w:val="00E63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530284E"/>
  <w15:chartTrackingRefBased/>
  <w15:docId w15:val="{94D27EF2-94D8-C24A-8F53-4D421D87D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3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3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3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3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3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3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3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3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3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3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3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3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3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3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3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3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3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3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63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3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3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3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63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3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63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3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3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3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63CE"/>
    <w:rPr>
      <w:b/>
      <w:bCs/>
      <w:smallCaps/>
      <w:color w:val="0F4761" w:themeColor="accent1" w:themeShade="BF"/>
      <w:spacing w:val="5"/>
    </w:rPr>
  </w:style>
  <w:style w:type="paragraph" w:customStyle="1" w:styleId="Didefault">
    <w:name w:val="Di default"/>
    <w:rsid w:val="00CB63CE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kern w:val="0"/>
      <w:bdr w:val="nil"/>
      <w:lang w:val="it-IT" w:eastAsia="en-GB"/>
      <w14:textOutline w14:w="0" w14:cap="flat" w14:cmpd="sng" w14:algn="ctr">
        <w14:noFill/>
        <w14:prstDash w14:val="solid"/>
        <w14:bevel/>
      </w14:textOutline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BUCCI GABRIELE</dc:creator>
  <cp:keywords/>
  <dc:description/>
  <cp:lastModifiedBy>BUCCI GABRIELE</cp:lastModifiedBy>
  <cp:revision>1</cp:revision>
  <dcterms:created xsi:type="dcterms:W3CDTF">2025-10-23T12:31:00Z</dcterms:created>
  <dcterms:modified xsi:type="dcterms:W3CDTF">2025-10-23T12:31:00Z</dcterms:modified>
</cp:coreProperties>
</file>