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2"/>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9"/>
        </w:numPr>
        <w:rPr/>
      </w:pPr>
      <w:r>
        <w:rPr>
          <w:b/>
          <w:bCs/>
        </w:rPr>
        <w:t>certFile</w:t>
      </w:r>
      <w:r>
        <w:rPr/>
        <w:t xml:space="preserve"> - path to the SSL certificate file,</w:t>
      </w:r>
    </w:p>
    <w:p>
      <w:pPr>
        <w:pStyle w:val="TextBody"/>
        <w:numPr>
          <w:ilvl w:val="0"/>
          <w:numId w:val="9"/>
        </w:numPr>
        <w:rPr/>
      </w:pPr>
      <w:r>
        <w:rPr>
          <w:b/>
          <w:bCs/>
        </w:rPr>
        <w:t>keyFile</w:t>
      </w:r>
      <w:r>
        <w:rPr/>
        <w:t xml:space="preserve"> - path to the  private key file.</w:t>
      </w:r>
    </w:p>
    <w:p>
      <w:pPr>
        <w:pStyle w:val="Heading4"/>
        <w:numPr>
          <w:ilvl w:val="3"/>
          <w:numId w:val="2"/>
        </w:numPr>
        <w:spacing w:before="120" w:after="120"/>
        <w:rPr/>
      </w:pPr>
      <w:r>
        <w:rPr/>
      </w:r>
    </w:p>
    <w:p>
      <w:pPr>
        <w:pStyle w:val="Heading4"/>
        <w:numPr>
          <w:ilvl w:val="3"/>
          <w:numId w:val="2"/>
        </w:numPr>
        <w:spacing w:before="120" w:after="120"/>
        <w:rPr/>
      </w:pPr>
      <w:r>
        <w:rPr/>
        <w:t>HTTPS protocol</w:t>
      </w:r>
    </w:p>
    <w:p>
      <w:pPr>
        <w:pStyle w:val="TextBody"/>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w:t>
      </w:r>
      <w:r>
        <w:rPr/>
        <w:t>to</w:t>
      </w:r>
      <w:r>
        <w:rPr/>
        <w:t xml:space="preserve"> Trusted Root Certificated Authorities. Certificates for new projects will be </w:t>
      </w:r>
      <w:r>
        <w:rPr/>
        <w:t>signed</w:t>
      </w:r>
      <w:r>
        <w:rPr/>
        <w:t xml:space="preserve"> with this certificate of your own </w:t>
      </w:r>
      <w:r>
        <w:rPr/>
        <w:t>CA</w:t>
      </w:r>
      <w:r>
        <w:rPr/>
        <w:t>. Obviously, this solution is only suitable for local networks, but Trusted Root Certificated Authorities will not be spammed.</w:t>
      </w:r>
    </w:p>
    <w:p>
      <w:pPr>
        <w:pStyle w:val="TextBody"/>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3"/>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xml:space="preserve">// </w:t>
      </w:r>
      <w:r>
        <w:rPr/>
        <w:t>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3"/>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-out CA.pem</w:t>
      </w:r>
    </w:p>
    <w:p>
      <w:pPr>
        <w:pStyle w:val="TextBody"/>
        <w:widowControl/>
        <w:suppressAutoHyphens w:val="true"/>
        <w:bidi w:val="0"/>
        <w:spacing w:lineRule="auto" w:line="276" w:before="0" w:after="140"/>
        <w:ind w:start="737" w:end="0" w:hanging="0"/>
        <w:jc w:val="start"/>
        <w:rPr/>
      </w:pPr>
      <w:r>
        <w:rPr/>
        <w:t>This command will ask you for additional data: Country, state, Locality, … Adding the -subj parameter will prevent polling:</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Certificate importing tool on Windows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following</w:t>
      </w:r>
      <w:hyperlink r:id="rId6">
        <w:r>
          <w:rPr>
            <w:rStyle w:val="InternetLink"/>
            <w:b w:val="false"/>
            <w:bCs w:val="false"/>
          </w:rPr>
          <w:t xml:space="preserve"> thewindowsclub</w:t>
        </w:r>
      </w:hyperlink>
      <w:r>
        <w:rPr>
          <w:b w:val="false"/>
          <w:bCs w:val="false"/>
        </w:rPr>
        <w:t xml:space="preserve"> site.</w:t>
      </w:r>
    </w:p>
    <w:p>
      <w:pPr>
        <w:pStyle w:val="TextBody"/>
        <w:numPr>
          <w:ilvl w:val="0"/>
          <w:numId w:val="13"/>
        </w:numPr>
        <w:bidi w:val="0"/>
        <w:spacing w:before="240" w:after="120"/>
        <w:jc w:val="start"/>
        <w:rPr/>
      </w:pPr>
      <w:r>
        <w:rPr/>
        <w:t>Being in CA directory cre</w:t>
      </w:r>
      <w:r>
        <w:rPr/>
        <w:t xml:space="preserve">instruction on </w:t>
      </w:r>
      <w:r>
        <w:rPr/>
        <w:t xml:space="preserv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xml:space="preserve">// </w:t>
      </w:r>
      <w:r>
        <w:rPr/>
        <w:t>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3"/>
        </w:numPr>
        <w:bidi w:val="0"/>
        <w:spacing w:before="240" w:after="120"/>
        <w:jc w:val="start"/>
        <w:rPr/>
      </w:pPr>
      <w:r>
        <w:rPr/>
        <w:t>Write this information into localhost.exe:</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DNS.1 = localhost</w:t>
      </w:r>
    </w:p>
    <w:p>
      <w:pPr>
        <w:pStyle w:val="Example"/>
        <w:ind w:start="1418" w:end="567" w:hanging="0"/>
        <w:rPr/>
      </w:pPr>
      <w:r>
        <w:rPr/>
        <w:t>IP.1 = 127.0.0.1</w:t>
      </w:r>
    </w:p>
    <w:p>
      <w:pPr>
        <w:pStyle w:val="TextBody"/>
        <w:widowControl/>
        <w:suppressAutoHyphens w:val="true"/>
        <w:bidi w:val="0"/>
        <w:spacing w:lineRule="auto" w:line="276" w:before="0" w:after="140"/>
        <w:ind w:start="737" w:end="0" w:hanging="0"/>
        <w:jc w:val="start"/>
        <w:rPr/>
      </w:pPr>
      <w:r>
        <w:rPr/>
        <w:t xml:space="preserve">The certificate will work for localhost and also 127.0.0.1. One can decide to add more domains or IP addresses to the file but ensure to edit the </w:t>
      </w:r>
      <w:r>
        <w:rPr>
          <w:b/>
          <w:bCs/>
        </w:rPr>
        <w:t>/etc/hosts</w:t>
      </w:r>
      <w:r>
        <w:rPr/>
        <w:t xml:space="preserve"> file to have those domains point to the local machine (127.0.0.1). Windows users will find this file in C:\</w:t>
      </w:r>
      <w:r>
        <w:rPr>
          <w:b/>
          <w:bCs/>
        </w:rPr>
        <w:t>Windows\System32\drivers\etc</w:t>
      </w:r>
      <w:r>
        <w:rPr/>
        <w:t xml:space="preserve"> directory.</w:t>
      </w:r>
    </w:p>
    <w:p>
      <w:pPr>
        <w:pStyle w:val="TextBody"/>
        <w:numPr>
          <w:ilvl w:val="0"/>
          <w:numId w:val="13"/>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3"/>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680" w:end="0" w:hanging="0"/>
        <w:jc w:val="start"/>
        <w:rPr/>
      </w:pPr>
      <w:r>
        <w:rPr/>
        <w:t>Content of the -subj string:</w:t>
      </w:r>
    </w:p>
    <w:p>
      <w:pPr>
        <w:pStyle w:val="TextBody"/>
        <w:widowControl/>
        <w:numPr>
          <w:ilvl w:val="0"/>
          <w:numId w:val="12"/>
        </w:numPr>
        <w:suppressAutoHyphens w:val="true"/>
        <w:bidi w:val="0"/>
        <w:spacing w:lineRule="auto" w:line="276" w:before="0" w:after="140"/>
        <w:jc w:val="start"/>
        <w:rPr/>
      </w:pPr>
      <w:r>
        <w:rPr/>
        <w:t>/C – country (2 letter code)</w:t>
      </w:r>
    </w:p>
    <w:p>
      <w:pPr>
        <w:pStyle w:val="TextBody"/>
        <w:widowControl/>
        <w:numPr>
          <w:ilvl w:val="0"/>
          <w:numId w:val="12"/>
        </w:numPr>
        <w:suppressAutoHyphens w:val="true"/>
        <w:bidi w:val="0"/>
        <w:spacing w:lineRule="auto" w:line="276" w:before="0" w:after="140"/>
        <w:jc w:val="start"/>
        <w:rPr/>
      </w:pPr>
      <w:r>
        <w:rPr/>
        <w:t>/ST – state or Province name (full name)</w:t>
      </w:r>
    </w:p>
    <w:p>
      <w:pPr>
        <w:pStyle w:val="TextBody"/>
        <w:widowControl/>
        <w:numPr>
          <w:ilvl w:val="0"/>
          <w:numId w:val="12"/>
        </w:numPr>
        <w:suppressAutoHyphens w:val="true"/>
        <w:bidi w:val="0"/>
        <w:spacing w:lineRule="auto" w:line="276" w:before="0" w:after="140"/>
        <w:jc w:val="start"/>
        <w:rPr/>
      </w:pPr>
      <w:r>
        <w:rPr/>
        <w:t>/L - Locality Name (e.g., city)</w:t>
      </w:r>
    </w:p>
    <w:p>
      <w:pPr>
        <w:pStyle w:val="TextBody"/>
        <w:widowControl/>
        <w:numPr>
          <w:ilvl w:val="0"/>
          <w:numId w:val="12"/>
        </w:numPr>
        <w:suppressAutoHyphens w:val="true"/>
        <w:bidi w:val="0"/>
        <w:spacing w:lineRule="auto" w:line="276" w:before="0" w:after="140"/>
        <w:jc w:val="start"/>
        <w:rPr/>
      </w:pPr>
      <w:r>
        <w:rPr/>
        <w:t>/O - Organization Name (e.g., company)</w:t>
      </w:r>
    </w:p>
    <w:p>
      <w:pPr>
        <w:pStyle w:val="TextBody"/>
        <w:widowControl/>
        <w:numPr>
          <w:ilvl w:val="0"/>
          <w:numId w:val="12"/>
        </w:numPr>
        <w:suppressAutoHyphens w:val="true"/>
        <w:bidi w:val="0"/>
        <w:spacing w:lineRule="auto" w:line="276" w:before="0" w:after="140"/>
        <w:jc w:val="start"/>
        <w:rPr/>
      </w:pPr>
      <w:r>
        <w:rPr/>
        <w:t>/OU - Organizational Unit Name (e.g., section)</w:t>
      </w:r>
    </w:p>
    <w:p>
      <w:pPr>
        <w:pStyle w:val="TextBody"/>
        <w:widowControl/>
        <w:numPr>
          <w:ilvl w:val="0"/>
          <w:numId w:val="12"/>
        </w:numPr>
        <w:suppressAutoHyphens w:val="true"/>
        <w:bidi w:val="0"/>
        <w:spacing w:lineRule="auto" w:line="276" w:before="0" w:after="140"/>
        <w:jc w:val="start"/>
        <w:rPr/>
      </w:pPr>
      <w:r>
        <w:rPr/>
        <w:t xml:space="preserve">CN - The fully-qualified domain name (FQDN) (e.g., </w:t>
      </w:r>
      <w:hyperlink r:id="rId7">
        <w:r>
          <w:rPr>
            <w:rStyle w:val="InternetLink"/>
          </w:rPr>
          <w:t>www.example.com</w:t>
        </w:r>
      </w:hyperlink>
      <w:r>
        <w:rPr/>
        <w:t>)</w:t>
      </w:r>
    </w:p>
    <w:p>
      <w:pPr>
        <w:pStyle w:val="TextBody"/>
        <w:numPr>
          <w:ilvl w:val="0"/>
          <w:numId w:val="13"/>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3"/>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3"/>
        </w:numPr>
        <w:bidi w:val="0"/>
        <w:spacing w:before="240" w:after="120"/>
        <w:jc w:val="start"/>
        <w:rPr/>
      </w:pPr>
      <w:r>
        <w:rPr>
          <w:b w:val="false"/>
          <w:bCs w:val="false"/>
        </w:rPr>
        <w:t>xxx</w:t>
      </w:r>
    </w:p>
    <w:p>
      <w:pPr>
        <w:pStyle w:val="TextBody"/>
        <w:numPr>
          <w:ilvl w:val="3"/>
          <w:numId w:val="2"/>
        </w:numPr>
        <w:rPr/>
      </w:pPr>
      <w:r>
        <w:rPr/>
        <w:t>https://ubuntu.com/server/docs/security-trust-store</w:t>
      </w:r>
    </w:p>
    <w:p>
      <w:pPr>
        <w:pStyle w:val="TextBody"/>
        <w:numPr>
          <w:ilvl w:val="3"/>
          <w:numId w:val="2"/>
        </w:numPr>
        <w:rPr/>
      </w:pPr>
      <w:r>
        <w:rPr/>
        <w:t>https://www.section.io/engineering-education/how-to-get-ssl-https-for-localhost/</w:t>
      </w:r>
    </w:p>
    <w:p>
      <w:pPr>
        <w:pStyle w:val="Heading4"/>
        <w:numPr>
          <w:ilvl w:val="3"/>
          <w:numId w:val="2"/>
        </w:numPr>
        <w:spacing w:before="120" w:after="120"/>
        <w:rPr/>
      </w:pPr>
      <w:r>
        <w:rPr/>
      </w:r>
    </w:p>
    <w:p>
      <w:pPr>
        <w:pStyle w:val="Heading4"/>
        <w:numPr>
          <w:ilvl w:val="3"/>
          <w:numId w:val="2"/>
        </w:numPr>
        <w:spacing w:before="120" w:after="120"/>
        <w:rPr/>
      </w:pPr>
      <w:r>
        <w:rPr/>
        <w:t>HTTPS protocol (1)</w:t>
      </w:r>
    </w:p>
    <w:p>
      <w:pPr>
        <w:pStyle w:val="TextBody"/>
        <w:bidi w:val="0"/>
        <w:spacing w:before="240" w:after="120"/>
        <w:jc w:val="start"/>
        <w:rPr/>
      </w:pPr>
      <w:r>
        <w:rPr/>
        <w:t xml:space="preserve">In order to start a server working under the HTTPS protocol, you need to generate an SSL certificate and a public-private key pair. The </w:t>
      </w:r>
      <w:hyperlink r:id="rId8">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 Follow this instruction:</w:t>
      </w:r>
    </w:p>
    <w:p>
      <w:pPr>
        <w:pStyle w:val="TextBody"/>
        <w:numPr>
          <w:ilvl w:val="0"/>
          <w:numId w:val="10"/>
        </w:numPr>
        <w:bidi w:val="0"/>
        <w:spacing w:before="240" w:after="120"/>
        <w:jc w:val="start"/>
        <w:rPr/>
      </w:pPr>
      <w:r>
        <w:rPr>
          <w:b/>
          <w:bCs/>
        </w:rPr>
        <w:t>generate a private key</w:t>
      </w:r>
      <w:r>
        <w:rPr/>
        <w:t xml:space="preserve"> with the correct length</w:t>
      </w:r>
    </w:p>
    <w:p>
      <w:pPr>
        <w:pStyle w:val="Example"/>
        <w:spacing w:before="0" w:after="57"/>
        <w:ind w:start="1418" w:end="567" w:hanging="0"/>
        <w:rPr/>
      </w:pPr>
      <w:r>
        <w:rPr/>
        <w:t>mkdir certificate</w:t>
      </w:r>
    </w:p>
    <w:p>
      <w:pPr>
        <w:pStyle w:val="Example"/>
        <w:spacing w:before="0" w:after="57"/>
        <w:ind w:start="1418" w:end="567" w:hanging="0"/>
        <w:rPr/>
      </w:pPr>
      <w:r>
        <w:rPr/>
        <w:t>cd certificate</w:t>
      </w:r>
    </w:p>
    <w:p>
      <w:pPr>
        <w:pStyle w:val="Example"/>
        <w:ind w:start="1418" w:end="567" w:hanging="0"/>
        <w:rPr/>
      </w:pPr>
      <w:r>
        <w:rPr/>
        <w:t>openssl genrsa -out private-key.pem 3072</w:t>
      </w:r>
    </w:p>
    <w:p>
      <w:pPr>
        <w:pStyle w:val="TextBody"/>
        <w:widowControl/>
        <w:suppressAutoHyphens w:val="true"/>
        <w:bidi w:val="0"/>
        <w:spacing w:lineRule="auto" w:line="276" w:before="240" w:after="120"/>
        <w:ind w:start="737" w:end="0" w:hanging="0"/>
        <w:jc w:val="start"/>
        <w:rPr/>
      </w:pPr>
      <w:r>
        <w:rPr/>
        <w:t>You can to verify the key typing this command</w:t>
      </w:r>
    </w:p>
    <w:p>
      <w:pPr>
        <w:pStyle w:val="Example"/>
        <w:ind w:start="1418" w:end="567" w:hanging="0"/>
        <w:rPr/>
      </w:pPr>
      <w:r>
        <w:rPr/>
        <w:t>openssl rsa -text -in private-key.pem -noout</w:t>
      </w:r>
    </w:p>
    <w:p>
      <w:pPr>
        <w:pStyle w:val="TextBody"/>
        <w:numPr>
          <w:ilvl w:val="0"/>
          <w:numId w:val="11"/>
        </w:numPr>
        <w:bidi w:val="0"/>
        <w:spacing w:before="240" w:after="120"/>
        <w:jc w:val="start"/>
        <w:rPr>
          <w:b/>
          <w:b/>
          <w:bCs/>
        </w:rPr>
      </w:pPr>
      <w:r>
        <w:rPr>
          <w:b/>
          <w:bCs/>
        </w:rPr>
        <w:t>generate corresponding public key</w:t>
      </w:r>
    </w:p>
    <w:p>
      <w:pPr>
        <w:pStyle w:val="Example"/>
        <w:ind w:start="1418" w:end="567" w:hanging="0"/>
        <w:rPr/>
      </w:pPr>
      <w:r>
        <w:rPr/>
        <w:t>openssl rsa -in private-key.pem -pubout -out public-key.pem</w:t>
      </w:r>
    </w:p>
    <w:p>
      <w:pPr>
        <w:pStyle w:val="TextBody"/>
        <w:numPr>
          <w:ilvl w:val="0"/>
          <w:numId w:val="11"/>
        </w:numPr>
        <w:bidi w:val="0"/>
        <w:spacing w:before="240" w:after="120"/>
        <w:jc w:val="start"/>
        <w:rPr>
          <w:b/>
          <w:b/>
          <w:bCs/>
        </w:rPr>
      </w:pPr>
      <w:r>
        <w:rPr>
          <w:b/>
          <w:bCs/>
        </w:rPr>
        <w:t>generate a self-signed certificate</w:t>
      </w:r>
    </w:p>
    <w:p>
      <w:pPr>
        <w:pStyle w:val="Example"/>
        <w:spacing w:before="0" w:after="57"/>
        <w:ind w:start="1418" w:end="567" w:hanging="0"/>
        <w:rPr/>
      </w:pPr>
      <w:r>
        <w:rPr/>
        <w:t>openssl req -new -x509 -key private-key.pem -out cert.pem -days 360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680" w:end="0" w:hanging="0"/>
        <w:jc w:val="start"/>
        <w:rPr/>
      </w:pPr>
      <w:r>
        <w:rPr/>
        <w:t>Content of the -subj string:</w:t>
      </w:r>
    </w:p>
    <w:p>
      <w:pPr>
        <w:pStyle w:val="TextBody"/>
        <w:widowControl/>
        <w:numPr>
          <w:ilvl w:val="0"/>
          <w:numId w:val="12"/>
        </w:numPr>
        <w:suppressAutoHyphens w:val="true"/>
        <w:bidi w:val="0"/>
        <w:spacing w:lineRule="auto" w:line="276" w:before="0" w:after="140"/>
        <w:jc w:val="start"/>
        <w:rPr/>
      </w:pPr>
      <w:r>
        <w:rPr/>
        <w:t>/C – country (2 letter code)</w:t>
      </w:r>
    </w:p>
    <w:p>
      <w:pPr>
        <w:pStyle w:val="TextBody"/>
        <w:widowControl/>
        <w:numPr>
          <w:ilvl w:val="0"/>
          <w:numId w:val="12"/>
        </w:numPr>
        <w:suppressAutoHyphens w:val="true"/>
        <w:bidi w:val="0"/>
        <w:spacing w:lineRule="auto" w:line="276" w:before="0" w:after="140"/>
        <w:jc w:val="start"/>
        <w:rPr/>
      </w:pPr>
      <w:r>
        <w:rPr/>
        <w:t>/ST – state or Province name (full name)</w:t>
      </w:r>
    </w:p>
    <w:p>
      <w:pPr>
        <w:pStyle w:val="TextBody"/>
        <w:widowControl/>
        <w:numPr>
          <w:ilvl w:val="0"/>
          <w:numId w:val="12"/>
        </w:numPr>
        <w:suppressAutoHyphens w:val="true"/>
        <w:bidi w:val="0"/>
        <w:spacing w:lineRule="auto" w:line="276" w:before="0" w:after="140"/>
        <w:jc w:val="start"/>
        <w:rPr/>
      </w:pPr>
      <w:r>
        <w:rPr/>
        <w:t>/L - Locality Name (e.g., city)</w:t>
      </w:r>
    </w:p>
    <w:p>
      <w:pPr>
        <w:pStyle w:val="TextBody"/>
        <w:widowControl/>
        <w:numPr>
          <w:ilvl w:val="0"/>
          <w:numId w:val="12"/>
        </w:numPr>
        <w:suppressAutoHyphens w:val="true"/>
        <w:bidi w:val="0"/>
        <w:spacing w:lineRule="auto" w:line="276" w:before="0" w:after="140"/>
        <w:jc w:val="start"/>
        <w:rPr/>
      </w:pPr>
      <w:r>
        <w:rPr/>
        <w:t>/O - Organization Name (e.g., company)</w:t>
      </w:r>
    </w:p>
    <w:p>
      <w:pPr>
        <w:pStyle w:val="TextBody"/>
        <w:widowControl/>
        <w:numPr>
          <w:ilvl w:val="0"/>
          <w:numId w:val="12"/>
        </w:numPr>
        <w:suppressAutoHyphens w:val="true"/>
        <w:bidi w:val="0"/>
        <w:spacing w:lineRule="auto" w:line="276" w:before="0" w:after="140"/>
        <w:jc w:val="start"/>
        <w:rPr/>
      </w:pPr>
      <w:r>
        <w:rPr/>
        <w:t>/OU - Organizational Unit Name (e.g., section)</w:t>
      </w:r>
    </w:p>
    <w:p>
      <w:pPr>
        <w:pStyle w:val="TextBody"/>
        <w:widowControl/>
        <w:numPr>
          <w:ilvl w:val="0"/>
          <w:numId w:val="12"/>
        </w:numPr>
        <w:suppressAutoHyphens w:val="true"/>
        <w:bidi w:val="0"/>
        <w:spacing w:lineRule="auto" w:line="276" w:before="0" w:after="140"/>
        <w:jc w:val="start"/>
        <w:rPr/>
      </w:pPr>
      <w:r>
        <w:rPr/>
        <w:t xml:space="preserve">CN - The fully-qualified domain name (FQDN) (e.g., </w:t>
      </w:r>
      <w:hyperlink r:id="rId9">
        <w:r>
          <w:rPr>
            <w:rStyle w:val="InternetLink"/>
          </w:rPr>
          <w:t>www.example.com</w:t>
        </w:r>
      </w:hyperlink>
      <w:r>
        <w:rPr/>
        <w:t>)</w:t>
      </w:r>
    </w:p>
    <w:p>
      <w:pPr>
        <w:pStyle w:val="TextBody"/>
        <w:widowControl/>
        <w:suppressAutoHyphens w:val="true"/>
        <w:bidi w:val="0"/>
        <w:spacing w:lineRule="auto" w:line="276" w:before="0" w:after="140"/>
        <w:ind w:start="737" w:end="0" w:hanging="0"/>
        <w:jc w:val="start"/>
        <w:rPr/>
      </w:pPr>
      <w:r>
        <w:rPr/>
        <w:t>Almost the same command generates CSR request (file that you will sent to Certificate authority for obtaining real certificate):</w:t>
      </w:r>
    </w:p>
    <w:p>
      <w:pPr>
        <w:pStyle w:val="Example"/>
        <w:spacing w:before="0" w:after="57"/>
        <w:ind w:start="1418" w:end="567" w:hanging="0"/>
        <w:rPr/>
      </w:pPr>
      <w:r>
        <w:rPr/>
        <w:t>openssl req -new -key private-key.pem -out yourdomain.csr \</w:t>
      </w:r>
    </w:p>
    <w:p>
      <w:pPr>
        <w:pStyle w:val="Example"/>
        <w:ind w:start="1418" w:end="567" w:hanging="0"/>
        <w:rPr/>
      </w:pPr>
      <w:r>
        <w:rPr/>
        <w:t>-subj "/C=LT/ST=N_A/L=Kaunas/O=Home Computer/OU=IT/CN=localhost"</w:t>
      </w:r>
    </w:p>
    <w:p>
      <w:pPr>
        <w:pStyle w:val="TextBody"/>
        <w:numPr>
          <w:ilvl w:val="0"/>
          <w:numId w:val="11"/>
        </w:numPr>
        <w:bidi w:val="0"/>
        <w:spacing w:before="240" w:after="120"/>
        <w:jc w:val="start"/>
        <w:rPr/>
      </w:pPr>
      <w:r>
        <w:rPr/>
        <w:t xml:space="preserve">optional: </w:t>
      </w:r>
      <w:r>
        <w:rPr>
          <w:b/>
          <w:bCs/>
        </w:rPr>
        <w:t>convert pem to pfx</w:t>
      </w:r>
    </w:p>
    <w:p>
      <w:pPr>
        <w:pStyle w:val="TextBody"/>
        <w:bidi w:val="0"/>
        <w:spacing w:before="240" w:after="120"/>
        <w:jc w:val="start"/>
        <w:rPr>
          <w:b/>
          <w:b/>
          <w:bCs/>
        </w:rPr>
      </w:pPr>
      <w:r>
        <w:rPr>
          <w:b/>
          <w:bCs/>
        </w:rPr>
      </w:r>
    </w:p>
    <w:p>
      <w:pPr>
        <w:pStyle w:val="TextBody"/>
        <w:bidi w:val="0"/>
        <w:spacing w:before="240" w:after="120"/>
        <w:jc w:val="start"/>
        <w:rPr/>
      </w:pPr>
      <w:r>
        <w:rPr/>
        <w:t xml:space="preserve">signing request </w:t>
      </w:r>
      <w:r>
        <w:rPr>
          <w:b/>
          <w:bCs/>
        </w:rPr>
        <w:t>.csr</w:t>
      </w:r>
      <w:r>
        <w:rPr/>
        <w:t xml:space="preserve"> file as the first step of the process. </w:t>
      </w:r>
    </w:p>
    <w:p>
      <w:pPr>
        <w:pStyle w:val="TextBody"/>
        <w:bidi w:val="0"/>
        <w:spacing w:before="240" w:after="120"/>
        <w:jc w:val="start"/>
        <w:rPr/>
      </w:pPr>
      <w:r>
        <w:rPr/>
        <w:t xml:space="preserve">Use this command </w:t>
      </w:r>
    </w:p>
    <w:p>
      <w:pPr>
        <w:pStyle w:val="Example"/>
        <w:rPr/>
      </w:pPr>
      <w:r>
        <w:rPr/>
        <w:t>openssl req -new -newkey rsa:2048 -nodes -keyout thatisuday.key -out thatisuday.csr</w:t>
      </w:r>
    </w:p>
    <w:p>
      <w:pPr>
        <w:pStyle w:val="TextBody"/>
        <w:bidi w:val="0"/>
        <w:spacing w:before="240" w:after="120"/>
        <w:jc w:val="start"/>
        <w:rPr/>
      </w:pPr>
      <w:r>
        <w:rPr/>
        <w:t>(</w:t>
      </w:r>
      <w:r>
        <w:rPr>
          <w:b/>
          <w:bCs/>
        </w:rPr>
        <w:t>thatisuday.key</w:t>
      </w:r>
      <w:r>
        <w:rPr/>
        <w:t xml:space="preserve"> - name of the file with private key, </w:t>
      </w:r>
      <w:r>
        <w:rPr>
          <w:b/>
          <w:bCs/>
        </w:rPr>
        <w:t>thatisuday.csr</w:t>
      </w:r>
      <w:r>
        <w:rPr/>
        <w:t xml:space="preserve"> - name of the file with certificate signing request.</w:t>
      </w:r>
    </w:p>
    <w:p>
      <w:pPr>
        <w:pStyle w:val="TextBody"/>
        <w:bidi w:val="0"/>
        <w:spacing w:before="240" w:after="120"/>
        <w:jc w:val="start"/>
        <w:rPr/>
      </w:pPr>
      <w:r>
        <w:rPr/>
        <w:t xml:space="preserve">The </w:t>
      </w:r>
      <w:r>
        <w:rPr>
          <w:b/>
          <w:bCs/>
        </w:rPr>
        <w:t>.csr</w:t>
      </w:r>
      <w:r>
        <w:rPr/>
        <w:t xml:space="preserve"> file is then submitted to the Certificate authority (CA). The CA will take care of the process to generate a valid and trusted certificate. Once CA has gone through the CSR, it will validate your organization and then send a certificate file ending with </w:t>
      </w:r>
      <w:r>
        <w:rPr>
          <w:b/>
          <w:bCs/>
        </w:rPr>
        <w:t xml:space="preserve">.crt </w:t>
      </w:r>
      <w:r>
        <w:rPr/>
        <w:t>extension. Of course, this costs a lot of money, and it is better to use a self-signed certificate for programming purposes only. You can generate a self-signed certificate with the same OpenSSL program:</w:t>
      </w:r>
    </w:p>
    <w:p>
      <w:pPr>
        <w:pStyle w:val="Example"/>
        <w:spacing w:before="0" w:after="57"/>
        <w:rPr/>
      </w:pPr>
      <w:r>
        <w:rPr/>
        <w:t>openssl x509 -req -days 365 -in thatisuday.csr -signkey thatisuday.key \</w:t>
      </w:r>
    </w:p>
    <w:p>
      <w:pPr>
        <w:pStyle w:val="Example"/>
        <w:rPr/>
      </w:pPr>
      <w:r>
        <w:rPr/>
        <w:t xml:space="preserve">             </w:t>
      </w:r>
      <w:r>
        <w:rPr/>
        <w:t>-out thatisuday.crt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bidi w:val="0"/>
        <w:spacing w:before="240" w:after="120"/>
        <w:jc w:val="start"/>
        <w:rPr/>
      </w:pPr>
      <w:hyperlink r:id="rId10">
        <w:r>
          <w:rPr>
            <w:rStyle w:val="InternetLink"/>
          </w:rPr>
          <w:t>A brief overview of the TCP/IP model, SSL/TLS/HTTPS protocols and SSL certificates | by Uday Hiwarale | JsPoint | Medium</w:t>
        </w:r>
      </w:hyperlink>
      <w:r>
        <w:rPr/>
        <w:t xml:space="preserve"> </w:t>
      </w:r>
    </w:p>
    <w:p>
      <w:pPr>
        <w:pStyle w:val="TextBody"/>
        <w:bidi w:val="0"/>
        <w:spacing w:before="240" w:after="120"/>
        <w:jc w:val="start"/>
        <w:rPr/>
      </w:pPr>
      <w:hyperlink r:id="rId11">
        <w:r>
          <w:rPr>
            <w:rStyle w:val="InternetLink"/>
          </w:rPr>
          <w:t>Secure HTTPS servers in Go. In this article, we are going to look… | by Uday Hiwarale | RunGo | Medium</w:t>
        </w:r>
      </w:hyperlink>
      <w:r>
        <w:rPr/>
        <w:t xml:space="preserve"> </w:t>
      </w:r>
    </w:p>
    <w:p>
      <w:pPr>
        <w:pStyle w:val="TextBody"/>
        <w:bidi w:val="0"/>
        <w:spacing w:before="240" w:after="120"/>
        <w:jc w:val="start"/>
        <w:rPr/>
      </w:pPr>
      <w:hyperlink r:id="rId12">
        <w:r>
          <w:rPr>
            <w:rStyle w:val="InternetLink"/>
          </w:rPr>
          <w:t>An Introduction to Handlers and Servemuxes in Go – Alex Edwards</w:t>
        </w:r>
      </w:hyperlink>
      <w:r>
        <w:rPr/>
        <w:t xml:space="preserve"> </w:t>
      </w:r>
    </w:p>
    <w:p>
      <w:pPr>
        <w:pStyle w:val="TextBody"/>
        <w:bidi w:val="0"/>
        <w:spacing w:before="240" w:after="120"/>
        <w:jc w:val="start"/>
        <w:rPr/>
      </w:pPr>
      <w:r>
        <w:rPr>
          <w:rStyle w:val="InternetLink"/>
        </w:rPr>
        <w:t>https://sathishvj.medium.com/web-handlers-and-middleware-in-golang-2706c2ecfb75</w:t>
      </w:r>
    </w:p>
    <w:p>
      <w:pPr>
        <w:pStyle w:val="TextBody"/>
        <w:bidi w:val="0"/>
        <w:spacing w:before="240" w:after="120"/>
        <w:jc w:val="start"/>
        <w:rPr/>
      </w:pPr>
      <w:r>
        <w:rPr>
          <w:rStyle w:val="InternetLink"/>
        </w:rPr>
        <w:t>https://medium.com/@chrisgregory_83433/chaining-middleware-in-go-918cfbc5644d</w:t>
      </w:r>
    </w:p>
    <w:p>
      <w:pPr>
        <w:pStyle w:val="TextBody"/>
        <w:bidi w:val="0"/>
        <w:spacing w:before="240" w:after="120"/>
        <w:jc w:val="start"/>
        <w:rPr/>
      </w:pPr>
      <w:r>
        <w:rPr>
          <w:rStyle w:val="InternetLink"/>
        </w:rPr>
        <w:t>https://www.digitalocean.com/community/tutorials/how-to-make-an-http-server-in-go</w:t>
      </w:r>
    </w:p>
    <w:p>
      <w:pPr>
        <w:pStyle w:val="TextBody"/>
        <w:bidi w:val="0"/>
        <w:spacing w:before="240" w:after="120"/>
        <w:jc w:val="start"/>
        <w:rPr/>
      </w:pPr>
      <w:r>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13">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14">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15">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16">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17">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8"/>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19">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20">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rPr/>
      </w:pPr>
      <w:r>
        <w:rPr/>
      </w:r>
    </w:p>
    <w:p>
      <w:pPr>
        <w:pStyle w:val="TextBody"/>
        <w:spacing w:before="0" w:after="140"/>
        <w:rPr/>
      </w:pPr>
      <w:hyperlink r:id="rId21">
        <w:r>
          <w:rPr>
            <w:rStyle w:val="InternetLink"/>
          </w:rPr>
          <w:t>Custom events in JavaScript: A complete guide - LogRocket Blog</w:t>
        </w:r>
      </w:hyperlink>
      <w:r>
        <w:rPr/>
        <w:t xml:space="preserve"> </w:t>
      </w:r>
    </w:p>
    <w:p>
      <w:pPr>
        <w:pStyle w:val="TextBody"/>
        <w:spacing w:before="0" w:after="140"/>
        <w:rPr/>
      </w:pPr>
      <w:hyperlink r:id="rId22">
        <w:r>
          <w:rPr>
            <w:rStyle w:val="InternetLink"/>
          </w:rPr>
          <w:t>What is Lit? – Lit</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1400"/>
        </w:tabs>
        <w:ind w:start="1400" w:hanging="360"/>
      </w:pPr>
      <w:rPr>
        <w:rFonts w:ascii="Symbol" w:hAnsi="Symbol" w:cs="Symbol" w:hint="default"/>
      </w:rPr>
    </w:lvl>
    <w:lvl w:ilvl="1">
      <w:start w:val="1"/>
      <w:numFmt w:val="bullet"/>
      <w:lvlText w:val="◦"/>
      <w:lvlJc w:val="start"/>
      <w:pPr>
        <w:tabs>
          <w:tab w:val="num" w:pos="1760"/>
        </w:tabs>
        <w:ind w:start="1760" w:hanging="360"/>
      </w:pPr>
      <w:rPr>
        <w:rFonts w:ascii="OpenSymbol" w:hAnsi="OpenSymbol" w:cs="OpenSymbol" w:hint="default"/>
      </w:rPr>
    </w:lvl>
    <w:lvl w:ilvl="2">
      <w:start w:val="1"/>
      <w:numFmt w:val="bullet"/>
      <w:lvlText w:val="▪"/>
      <w:lvlJc w:val="start"/>
      <w:pPr>
        <w:tabs>
          <w:tab w:val="num" w:pos="2120"/>
        </w:tabs>
        <w:ind w:start="2120" w:hanging="360"/>
      </w:pPr>
      <w:rPr>
        <w:rFonts w:ascii="OpenSymbol" w:hAnsi="OpenSymbol" w:cs="OpenSymbol" w:hint="default"/>
      </w:rPr>
    </w:lvl>
    <w:lvl w:ilvl="3">
      <w:start w:val="1"/>
      <w:numFmt w:val="bullet"/>
      <w:lvlText w:val=""/>
      <w:lvlJc w:val="start"/>
      <w:pPr>
        <w:tabs>
          <w:tab w:val="num" w:pos="2480"/>
        </w:tabs>
        <w:ind w:start="2480" w:hanging="360"/>
      </w:pPr>
      <w:rPr>
        <w:rFonts w:ascii="Symbol" w:hAnsi="Symbol" w:cs="Symbol" w:hint="default"/>
      </w:rPr>
    </w:lvl>
    <w:lvl w:ilvl="4">
      <w:start w:val="1"/>
      <w:numFmt w:val="bullet"/>
      <w:lvlText w:val="◦"/>
      <w:lvlJc w:val="start"/>
      <w:pPr>
        <w:tabs>
          <w:tab w:val="num" w:pos="2840"/>
        </w:tabs>
        <w:ind w:start="2840" w:hanging="360"/>
      </w:pPr>
      <w:rPr>
        <w:rFonts w:ascii="OpenSymbol" w:hAnsi="OpenSymbol" w:cs="OpenSymbol" w:hint="default"/>
      </w:rPr>
    </w:lvl>
    <w:lvl w:ilvl="5">
      <w:start w:val="1"/>
      <w:numFmt w:val="bullet"/>
      <w:lvlText w:val="▪"/>
      <w:lvlJc w:val="start"/>
      <w:pPr>
        <w:tabs>
          <w:tab w:val="num" w:pos="3200"/>
        </w:tabs>
        <w:ind w:start="3200" w:hanging="360"/>
      </w:pPr>
      <w:rPr>
        <w:rFonts w:ascii="OpenSymbol" w:hAnsi="OpenSymbol" w:cs="OpenSymbol" w:hint="default"/>
      </w:rPr>
    </w:lvl>
    <w:lvl w:ilvl="6">
      <w:start w:val="1"/>
      <w:numFmt w:val="bullet"/>
      <w:lvlText w:val=""/>
      <w:lvlJc w:val="start"/>
      <w:pPr>
        <w:tabs>
          <w:tab w:val="num" w:pos="3560"/>
        </w:tabs>
        <w:ind w:start="3560" w:hanging="360"/>
      </w:pPr>
      <w:rPr>
        <w:rFonts w:ascii="Symbol" w:hAnsi="Symbol" w:cs="Symbol" w:hint="default"/>
      </w:rPr>
    </w:lvl>
    <w:lvl w:ilvl="7">
      <w:start w:val="1"/>
      <w:numFmt w:val="bullet"/>
      <w:lvlText w:val="◦"/>
      <w:lvlJc w:val="start"/>
      <w:pPr>
        <w:tabs>
          <w:tab w:val="num" w:pos="3920"/>
        </w:tabs>
        <w:ind w:start="3920" w:hanging="360"/>
      </w:pPr>
      <w:rPr>
        <w:rFonts w:ascii="OpenSymbol" w:hAnsi="OpenSymbol" w:cs="OpenSymbol" w:hint="default"/>
      </w:rPr>
    </w:lvl>
    <w:lvl w:ilvl="8">
      <w:start w:val="1"/>
      <w:numFmt w:val="bullet"/>
      <w:lvlText w:val="▪"/>
      <w:lvlJc w:val="start"/>
      <w:pPr>
        <w:tabs>
          <w:tab w:val="num" w:pos="4280"/>
        </w:tabs>
        <w:ind w:start="428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s://www.thewindowsclub.com/manage-trusted-root-certificates-windows?utm_content=cmp-true" TargetMode="External"/><Relationship Id="rId7" Type="http://schemas.openxmlformats.org/officeDocument/2006/relationships/hyperlink" Target="http://www.example.com/" TargetMode="External"/><Relationship Id="rId8" Type="http://schemas.openxmlformats.org/officeDocument/2006/relationships/hyperlink" Target="https://www.openssl.org/" TargetMode="External"/><Relationship Id="rId9" Type="http://schemas.openxmlformats.org/officeDocument/2006/relationships/hyperlink" Target="http://www.example.com/" TargetMode="External"/><Relationship Id="rId10" Type="http://schemas.openxmlformats.org/officeDocument/2006/relationships/hyperlink" Target="https://medium.com/jspoint/a-brief-overview-of-the-tcp-ip-model-ssl-tls-https-protocols-and-ssl-certificates-d5a6269fe29e" TargetMode="External"/><Relationship Id="rId11" Type="http://schemas.openxmlformats.org/officeDocument/2006/relationships/hyperlink" Target="https://medium.com/rungo/secure-https-servers-in-go-a783008b36da" TargetMode="External"/><Relationship Id="rId12" Type="http://schemas.openxmlformats.org/officeDocument/2006/relationships/hyperlink" Target="https://www.alexedwards.net/blog/an-introduction-to-handlers-and-servemuxes-in-go" TargetMode="External"/><Relationship Id="rId13" Type="http://schemas.openxmlformats.org/officeDocument/2006/relationships/hyperlink" Target="https://developer.mozilla.org/en-US/docs/Web/API/CustomElementRegistry" TargetMode="External"/><Relationship Id="rId14" Type="http://schemas.openxmlformats.org/officeDocument/2006/relationships/hyperlink" Target="https://developer.mozilla.org/en-US/docs/Web/API/Web_components/Using_custom_elements" TargetMode="External"/><Relationship Id="rId15" Type="http://schemas.openxmlformats.org/officeDocument/2006/relationships/hyperlink" Target="https://udn.realityripple.com/docs/Web/API/CustomElementRegistry/whenDefined" TargetMode="External"/><Relationship Id="rId16" Type="http://schemas.openxmlformats.org/officeDocument/2006/relationships/hyperlink" Target="https://github.com/mappmechanic/super-button-web-component/blob/master/Steps/tutorial1-Basic Custom Element.md" TargetMode="External"/><Relationship Id="rId17" Type="http://schemas.openxmlformats.org/officeDocument/2006/relationships/hyperlink" Target="https://developer.mozilla.org/en-US/docs/Web/HTML/Element/template" TargetMode="External"/><Relationship Id="rId18" Type="http://schemas.openxmlformats.org/officeDocument/2006/relationships/image" Target="media/image1.png"/><Relationship Id="rId19" Type="http://schemas.openxmlformats.org/officeDocument/2006/relationships/hyperlink" Target="https://developer.mozilla.org/en-US/docs/Web/API/Web_components/Using_shadow_DOM" TargetMode="External"/><Relationship Id="rId20" Type="http://schemas.openxmlformats.org/officeDocument/2006/relationships/hyperlink" Target="https://github.com/mdn/web-components-examples/blob/main/popup-info-box-external-stylesheet/main.js" TargetMode="External"/><Relationship Id="rId21" Type="http://schemas.openxmlformats.org/officeDocument/2006/relationships/hyperlink" Target="https://blog.logrocket.com/custom-events-in-javascript-a-complete-guide/" TargetMode="External"/><Relationship Id="rId22" Type="http://schemas.openxmlformats.org/officeDocument/2006/relationships/hyperlink" Target="https://lit.dev/docs/"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3469</TotalTime>
  <Application>LibreOffice/7.3.4.2$Windows_X86_64 LibreOffice_project/728fec16bd5f605073805c3c9e7c4212a0120dc5</Application>
  <AppVersion>15.0000</AppVersion>
  <Pages>22</Pages>
  <Words>4277</Words>
  <Characters>26418</Characters>
  <CharactersWithSpaces>31751</CharactersWithSpaces>
  <Paragraphs>559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2023-07-09T19:44:17Z</dcterms:modified>
  <cp:revision>257</cp:revision>
  <dc:subject/>
  <dc:title/>
</cp:coreProperties>
</file>

<file path=docProps/custom.xml><?xml version="1.0" encoding="utf-8"?>
<Properties xmlns="http://schemas.openxmlformats.org/officeDocument/2006/custom-properties" xmlns:vt="http://schemas.openxmlformats.org/officeDocument/2006/docPropsVTypes"/>
</file>