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1">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2">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3">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4">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5">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6">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7"/>
                    <a:stretch>
                      <a:fillRect/>
                    </a:stretch>
                  </pic:blipFill>
                  <pic:spPr bwMode="auto">
                    <a:xfrm>
                      <a:off x="0" y="0"/>
                      <a:ext cx="6120130" cy="3160395"/>
                    </a:xfrm>
                    <a:prstGeom prst="rect">
                      <a:avLst/>
                    </a:prstGeom>
                  </pic:spPr>
                </pic:pic>
              </a:graphicData>
            </a:graphic>
          </wp:anchor>
        </w:drawing>
      </w: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8">
        <w:r>
          <w:rPr>
            <w:rStyle w:val="InternetLink"/>
          </w:rPr>
          <w:t>book</w:t>
        </w:r>
      </w:hyperlink>
      <w:r>
        <w:rPr/>
        <w:t xml:space="preserve"> or watch a </w:t>
      </w:r>
      <w:hyperlink r:id="rId19">
        <w:r>
          <w:rPr>
            <w:rStyle w:val="InternetLink"/>
          </w:rPr>
          <w:t>video</w:t>
        </w:r>
      </w:hyperlink>
      <w:r>
        <w:rPr/>
        <w:t xml:space="preserve">. </w:t>
      </w:r>
    </w:p>
    <w:p>
      <w:pPr>
        <w:pStyle w:val="TextBody"/>
        <w:spacing w:before="0" w:after="140"/>
        <w:rPr/>
      </w:pPr>
      <w:r>
        <w:rPr/>
        <w:t xml:space="preserve">There is a very good book on </w:t>
      </w:r>
      <w:hyperlink r:id="rId20">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1"/>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1">
        <w:r>
          <w:rPr>
            <w:rStyle w:val="InternetLink"/>
          </w:rPr>
          <w:t>Git Guides</w:t>
        </w:r>
      </w:hyperlink>
      <w:r>
        <w:rPr/>
        <w:t xml:space="preserve"> site.</w:t>
      </w:r>
    </w:p>
    <w:p>
      <w:pPr>
        <w:pStyle w:val="TextBody"/>
        <w:spacing w:before="0" w:after="140"/>
        <w:rPr/>
      </w:pPr>
      <w:r>
        <w:rPr/>
      </w:r>
    </w:p>
    <w:p>
      <w:pPr>
        <w:pStyle w:val="Heading4"/>
        <w:numPr>
          <w:ilvl w:val="3"/>
          <w:numId w:val="1"/>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2">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3">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1"/>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4">
        <w:r>
          <w:rPr>
            <w:rStyle w:val="InternetLink"/>
          </w:rPr>
          <w:t>Atlassian</w:t>
        </w:r>
      </w:hyperlink>
      <w:r>
        <w:rPr/>
        <w:t xml:space="preserve"> </w:t>
      </w:r>
      <w:r>
        <w:rPr/>
        <w:t>site</w:t>
      </w:r>
      <w:r>
        <w:rPr/>
        <w:t xml:space="preserve"> you will find a short but sufficiently detailed description of this </w:t>
      </w:r>
      <w:r>
        <w:rPr/>
        <w:t>command</w:t>
      </w:r>
      <w:r>
        <w:rPr/>
        <w:t>. Here I will mention that the config command allows you to set:</w:t>
      </w:r>
    </w:p>
    <w:p>
      <w:pPr>
        <w:pStyle w:val="TextBody"/>
        <w:numPr>
          <w:ilvl w:val="0"/>
          <w:numId w:val="5"/>
        </w:numPr>
        <w:spacing w:before="0" w:after="140"/>
        <w:rPr/>
      </w:pPr>
      <w:r>
        <w:rPr/>
        <w:t xml:space="preserve">user’s </w:t>
      </w:r>
      <w:r>
        <w:rPr>
          <w:b/>
          <w:bCs/>
        </w:rPr>
        <w:t>name</w:t>
      </w:r>
      <w:r>
        <w:rPr/>
        <w:t>,</w:t>
      </w:r>
    </w:p>
    <w:p>
      <w:pPr>
        <w:pStyle w:val="TextBody"/>
        <w:numPr>
          <w:ilvl w:val="0"/>
          <w:numId w:val="5"/>
        </w:numPr>
        <w:spacing w:before="0" w:after="140"/>
        <w:rPr/>
      </w:pPr>
      <w:r>
        <w:rPr>
          <w:b/>
          <w:bCs/>
        </w:rPr>
        <w:t>email</w:t>
      </w:r>
      <w:r>
        <w:rPr/>
        <w:t>,</w:t>
      </w:r>
    </w:p>
    <w:p>
      <w:pPr>
        <w:pStyle w:val="TextBody"/>
        <w:numPr>
          <w:ilvl w:val="0"/>
          <w:numId w:val="5"/>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5">
        <w:r>
          <w:rPr>
            <w:rStyle w:val="InternetLink"/>
          </w:rPr>
          <w:t>Atlassian</w:t>
        </w:r>
      </w:hyperlink>
      <w:r>
        <w:rPr/>
        <w:t xml:space="preserve"> site),</w:t>
      </w:r>
    </w:p>
    <w:p>
      <w:pPr>
        <w:pStyle w:val="TextBody"/>
        <w:numPr>
          <w:ilvl w:val="0"/>
          <w:numId w:val="5"/>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6"/>
        </w:numPr>
        <w:spacing w:before="0" w:after="140"/>
        <w:rPr/>
      </w:pPr>
      <w:r>
        <w:rPr/>
        <w:t xml:space="preserve">Git supports colored terminal output </w:t>
      </w:r>
      <w:r>
        <w:rPr/>
        <w:t>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7"/>
        </w:numPr>
        <w:spacing w:before="0" w:after="140"/>
        <w:rPr/>
      </w:pPr>
      <w:r>
        <w:rPr>
          <w:b/>
          <w:bCs/>
        </w:rPr>
        <w:t>--</w:t>
      </w:r>
      <w:r>
        <w:rPr>
          <w:b/>
          <w:bCs/>
        </w:rPr>
        <w:t>local</w:t>
      </w:r>
      <w:r>
        <w:rPr/>
        <w:t xml:space="preserve"> - the settings only apply to the project where git config was used,</w:t>
      </w:r>
    </w:p>
    <w:p>
      <w:pPr>
        <w:pStyle w:val="TextBody"/>
        <w:numPr>
          <w:ilvl w:val="0"/>
          <w:numId w:val="7"/>
        </w:numPr>
        <w:spacing w:before="0" w:after="140"/>
        <w:rPr/>
      </w:pPr>
      <w:r>
        <w:rPr>
          <w:b/>
          <w:bCs/>
        </w:rPr>
        <w:t>--</w:t>
      </w:r>
      <w:r>
        <w:rPr>
          <w:b/>
          <w:bCs/>
        </w:rPr>
        <w:t>global</w:t>
      </w:r>
      <w:r>
        <w:rPr/>
        <w:t xml:space="preserve"> - the settings are valid for all projects of the currently logged-in user,</w:t>
      </w:r>
    </w:p>
    <w:p>
      <w:pPr>
        <w:pStyle w:val="TextBody"/>
        <w:numPr>
          <w:ilvl w:val="0"/>
          <w:numId w:val="7"/>
        </w:numPr>
        <w:spacing w:before="0" w:after="140"/>
        <w:rPr/>
      </w:pPr>
      <w:r>
        <w:rPr>
          <w:b/>
          <w:bCs/>
        </w:rPr>
        <w:t>--</w:t>
      </w:r>
      <w:r>
        <w:rPr>
          <w:b/>
          <w:bCs/>
        </w:rPr>
        <w:t>system</w:t>
      </w:r>
      <w:r>
        <w:rPr/>
        <w:t xml:space="preserve"> - system-level configuration is applied across an entire machine. This covers all users on an operating system and all repos.</w:t>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en.wikipedia.org/wiki/Package_manager" TargetMode="External"/><Relationship Id="rId12" Type="http://schemas.openxmlformats.org/officeDocument/2006/relationships/hyperlink" Target="https://www.ubuntugeek.com/synaptic-package-manager-beginners-guide-for-ubuntu-users.html" TargetMode="External"/><Relationship Id="rId13" Type="http://schemas.openxmlformats.org/officeDocument/2006/relationships/hyperlink" Target="https://canonical.com/" TargetMode="External"/><Relationship Id="rId14" Type="http://schemas.openxmlformats.org/officeDocument/2006/relationships/hyperlink" Target="https://git-scm.com/" TargetMode="External"/><Relationship Id="rId15" Type="http://schemas.openxmlformats.org/officeDocument/2006/relationships/hyperlink" Target="https://dev.to/kellycarvalho/how-to-configure-git-on-ubuntu-and-adding-ssh-key-to-github-4h5d"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image" Target="media/image3.png"/><Relationship Id="rId18" Type="http://schemas.openxmlformats.org/officeDocument/2006/relationships/hyperlink" Target="https://about.gitlab.com/handbook/" TargetMode="External"/><Relationship Id="rId19" Type="http://schemas.openxmlformats.org/officeDocument/2006/relationships/hyperlink" Target="https://www.youtube.com/watch?v=8aV5AxJrHDg" TargetMode="External"/><Relationship Id="rId20" Type="http://schemas.openxmlformats.org/officeDocument/2006/relationships/hyperlink" Target="https://git-scm.com/book/en/v2" TargetMode="External"/><Relationship Id="rId21" Type="http://schemas.openxmlformats.org/officeDocument/2006/relationships/hyperlink" Target="https://github.com/git-guides/git-clone" TargetMode="External"/><Relationship Id="rId22" Type="http://schemas.openxmlformats.org/officeDocument/2006/relationships/hyperlink" Target="https://kbroman.org/github_tutorial/pages/init.html" TargetMode="External"/><Relationship Id="rId23" Type="http://schemas.openxmlformats.org/officeDocument/2006/relationships/hyperlink" Target="https://www.atlassian.com/git/tutorials/setting-up-a-repository/git-init" TargetMode="External"/><Relationship Id="rId24" Type="http://schemas.openxmlformats.org/officeDocument/2006/relationships/hyperlink" Target="https://www.atlassian.com/git/tutorials/setting-up-a-repository/git-config"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1426</TotalTime>
  <Application>LibreOffice/7.3.4.2$Windows_X86_64 LibreOffice_project/728fec16bd5f605073805c3c9e7c4212a0120dc5</Application>
  <AppVersion>15.0000</AppVersion>
  <Pages>8</Pages>
  <Words>2492</Words>
  <Characters>12622</Characters>
  <CharactersWithSpaces>14976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2023-05-09T11:01:42Z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