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751" w:rsidRDefault="00D14600" w:rsidP="00124CD0">
      <w:pPr>
        <w:pStyle w:val="Heading1"/>
        <w:jc w:val="both"/>
        <w:rPr>
          <w:lang w:val="en-US"/>
        </w:rPr>
      </w:pPr>
      <w:r w:rsidRPr="00D14600">
        <w:rPr>
          <w:lang w:val="en-US"/>
        </w:rPr>
        <w:t xml:space="preserve">Moore’s law and </w:t>
      </w:r>
      <w:r>
        <w:rPr>
          <w:lang w:val="en-US"/>
        </w:rPr>
        <w:t>its limitations</w:t>
      </w:r>
    </w:p>
    <w:p w:rsidR="00D14600" w:rsidRDefault="00D14600" w:rsidP="00124CD0">
      <w:pPr>
        <w:jc w:val="both"/>
        <w:rPr>
          <w:lang w:val="en-US"/>
        </w:rPr>
      </w:pP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 xml:space="preserve">“Moore’s law” is actually not a physical law but a mere observation that </w:t>
      </w:r>
      <w:r w:rsidRPr="00D14600">
        <w:rPr>
          <w:i/>
          <w:iCs/>
          <w:lang w:val="en-US"/>
        </w:rPr>
        <w:t>transistor density used to double every two years</w:t>
      </w:r>
      <w:r>
        <w:rPr>
          <w:lang w:val="en-US"/>
        </w:rPr>
        <w:t>. Since smaller transistors switch faster this is equivalent to an increase in CPU clock frequency.</w:t>
      </w:r>
    </w:p>
    <w:p w:rsidR="00D14600" w:rsidRDefault="00D14600" w:rsidP="00124CD0">
      <w:pPr>
        <w:jc w:val="both"/>
        <w:rPr>
          <w:lang w:val="en-US"/>
        </w:rPr>
      </w:pPr>
    </w:p>
    <w:p w:rsidR="00186F81" w:rsidRDefault="00D14600" w:rsidP="00124CD0">
      <w:pPr>
        <w:jc w:val="both"/>
        <w:rPr>
          <w:lang w:val="en-US"/>
        </w:rPr>
      </w:pPr>
      <w:r>
        <w:rPr>
          <w:lang w:val="en-US"/>
        </w:rPr>
        <w:t>This law stopped to be valid a few years ago. The reason is often referred to as “</w:t>
      </w:r>
      <w:r w:rsidRPr="00D14600">
        <w:rPr>
          <w:lang w:val="en-US"/>
        </w:rPr>
        <w:t>Power Wall</w:t>
      </w:r>
      <w:r>
        <w:rPr>
          <w:lang w:val="en-US"/>
        </w:rPr>
        <w:t xml:space="preserve">”: </w:t>
      </w: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>A</w:t>
      </w:r>
      <w:r w:rsidRPr="00D14600">
        <w:rPr>
          <w:lang w:val="en-US"/>
        </w:rPr>
        <w:t xml:space="preserve"> higher density of transistors leads to a higher power consumption, which in turn leads to a higher temperature</w:t>
      </w:r>
      <w:r>
        <w:rPr>
          <w:lang w:val="en-US"/>
        </w:rPr>
        <w:t xml:space="preserve">. </w:t>
      </w: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>On the one hand, power consumption is a concern, especially in battery-powered mobile devices. On the other hand, the higher temperature, which ultimately might lead to the transistors melting</w:t>
      </w:r>
      <w:r w:rsidR="00186F81">
        <w:rPr>
          <w:lang w:val="en-US"/>
        </w:rPr>
        <w:t>,</w:t>
      </w:r>
      <w:r>
        <w:rPr>
          <w:lang w:val="en-US"/>
        </w:rPr>
        <w:t xml:space="preserve"> is the more pressing problem. Cooling with fans (or water but certainly not in mobile devices, see above) can only help up to a certain level.</w:t>
      </w:r>
    </w:p>
    <w:p w:rsidR="00D14600" w:rsidRDefault="00D14600" w:rsidP="00124CD0">
      <w:pPr>
        <w:jc w:val="both"/>
        <w:rPr>
          <w:lang w:val="en-US"/>
        </w:rPr>
      </w:pP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>The dynamic power can be calculated as follows:</w:t>
      </w: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>P = a * C * F * V^2</w:t>
      </w:r>
      <w:r w:rsidR="00057F43">
        <w:rPr>
          <w:lang w:val="en-US"/>
        </w:rPr>
        <w:t>,</w:t>
      </w:r>
    </w:p>
    <w:p w:rsidR="00D14600" w:rsidRDefault="00057F43" w:rsidP="00124CD0">
      <w:pPr>
        <w:jc w:val="both"/>
        <w:rPr>
          <w:lang w:val="en-US"/>
        </w:rPr>
      </w:pPr>
      <w:r>
        <w:rPr>
          <w:lang w:val="en-US"/>
        </w:rPr>
        <w:t>w</w:t>
      </w:r>
      <w:r w:rsidR="00D14600">
        <w:rPr>
          <w:lang w:val="en-US"/>
        </w:rPr>
        <w:t>here a is the percentage of switching, C the capacitance (which is related to the transistor size), F the frequency, and V the voltage swing.</w:t>
      </w: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>Since there is a qu</w:t>
      </w:r>
      <w:bookmarkStart w:id="0" w:name="_GoBack"/>
      <w:bookmarkEnd w:id="0"/>
      <w:r>
        <w:rPr>
          <w:lang w:val="en-US"/>
        </w:rPr>
        <w:t>adratic dependency on V, reducing the voltage swing is the first point to consider.</w:t>
      </w:r>
    </w:p>
    <w:p w:rsidR="00D14600" w:rsidRDefault="00D14600" w:rsidP="00124CD0">
      <w:pPr>
        <w:jc w:val="both"/>
        <w:rPr>
          <w:lang w:val="en-US"/>
        </w:rPr>
      </w:pPr>
    </w:p>
    <w:p w:rsidR="00D14600" w:rsidRDefault="00D14600" w:rsidP="00124CD0">
      <w:pPr>
        <w:jc w:val="both"/>
        <w:rPr>
          <w:lang w:val="en-US"/>
        </w:rPr>
      </w:pPr>
      <w:r>
        <w:rPr>
          <w:lang w:val="en-US"/>
        </w:rPr>
        <w:t>Here the Dennard Scaling comes into play which says that voltage swing should scale with transistor size. However, voltage cannot go too low for the following reasons:</w:t>
      </w:r>
    </w:p>
    <w:p w:rsidR="00D14600" w:rsidRDefault="00D14600" w:rsidP="00124CD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must stay above a threshold voltage</w:t>
      </w:r>
    </w:p>
    <w:p w:rsidR="00D14600" w:rsidRDefault="00D14600" w:rsidP="00124CD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Noise becomes problematic at low voltages.</w:t>
      </w:r>
    </w:p>
    <w:p w:rsidR="00876EAE" w:rsidRDefault="00876EAE" w:rsidP="00124CD0">
      <w:pPr>
        <w:pStyle w:val="ListParagraph"/>
        <w:jc w:val="both"/>
        <w:rPr>
          <w:lang w:val="en-US"/>
        </w:rPr>
      </w:pPr>
    </w:p>
    <w:p w:rsidR="00876EAE" w:rsidRDefault="00876EAE" w:rsidP="00124CD0">
      <w:pPr>
        <w:jc w:val="both"/>
        <w:rPr>
          <w:lang w:val="en-US"/>
        </w:rPr>
      </w:pPr>
      <w:r>
        <w:rPr>
          <w:lang w:val="en-US"/>
        </w:rPr>
        <w:t>In addition, leakage power becomes a problem in denser system.</w:t>
      </w:r>
    </w:p>
    <w:p w:rsidR="00876EAE" w:rsidRDefault="00876EAE" w:rsidP="00124CD0">
      <w:pPr>
        <w:jc w:val="both"/>
        <w:rPr>
          <w:lang w:val="en-US"/>
        </w:rPr>
      </w:pPr>
    </w:p>
    <w:p w:rsidR="00876EAE" w:rsidRPr="00876EAE" w:rsidRDefault="00876EAE" w:rsidP="00124CD0">
      <w:pPr>
        <w:jc w:val="both"/>
        <w:rPr>
          <w:lang w:val="en-US"/>
        </w:rPr>
      </w:pPr>
      <w:r>
        <w:rPr>
          <w:lang w:val="en-US"/>
        </w:rPr>
        <w:t>In conclusion, since transistor densities cannot increase significantly any more, multi-core systems and software that makes use of it in an appropriate way becomes the way to go.</w:t>
      </w:r>
    </w:p>
    <w:sectPr w:rsidR="00876EAE" w:rsidRPr="00876EAE" w:rsidSect="00784A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Noto Serif">
    <w:panose1 w:val="02020800060500020200"/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25181"/>
    <w:multiLevelType w:val="hybridMultilevel"/>
    <w:tmpl w:val="F298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30C62"/>
    <w:multiLevelType w:val="hybridMultilevel"/>
    <w:tmpl w:val="590A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0"/>
    <w:rsid w:val="00057F43"/>
    <w:rsid w:val="00124CD0"/>
    <w:rsid w:val="00186F81"/>
    <w:rsid w:val="00784A66"/>
    <w:rsid w:val="007F2E6B"/>
    <w:rsid w:val="00876EAE"/>
    <w:rsid w:val="00CD1751"/>
    <w:rsid w:val="00D1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8EF76"/>
  <w15:chartTrackingRefBased/>
  <w15:docId w15:val="{DF6BF861-6933-774F-8A1B-DE7A59B8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6B"/>
  </w:style>
  <w:style w:type="paragraph" w:styleId="Heading1">
    <w:name w:val="heading 1"/>
    <w:basedOn w:val="Normal"/>
    <w:next w:val="Normal"/>
    <w:link w:val="Heading1Char"/>
    <w:uiPriority w:val="9"/>
    <w:qFormat/>
    <w:rsid w:val="00D14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6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4600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ltech">
  <a:themeElements>
    <a:clrScheme name="Valtech_farben">
      <a:dk1>
        <a:srgbClr val="000000"/>
      </a:dk1>
      <a:lt1>
        <a:srgbClr val="FFFFFF"/>
      </a:lt1>
      <a:dk2>
        <a:srgbClr val="000000"/>
      </a:dk2>
      <a:lt2>
        <a:srgbClr val="F1F1EF"/>
      </a:lt2>
      <a:accent1>
        <a:srgbClr val="000000"/>
      </a:accent1>
      <a:accent2>
        <a:srgbClr val="888887"/>
      </a:accent2>
      <a:accent3>
        <a:srgbClr val="74C4B5"/>
      </a:accent3>
      <a:accent4>
        <a:srgbClr val="FFF07A"/>
      </a:accent4>
      <a:accent5>
        <a:srgbClr val="FC6DC6"/>
      </a:accent5>
      <a:accent6>
        <a:srgbClr val="8FB0F3"/>
      </a:accent6>
      <a:hlink>
        <a:srgbClr val="000000"/>
      </a:hlink>
      <a:folHlink>
        <a:srgbClr val="000000"/>
      </a:folHlink>
    </a:clrScheme>
    <a:fontScheme name="Valtech_schrift">
      <a:majorFont>
        <a:latin typeface="Noto Serif"/>
        <a:ea typeface=""/>
        <a:cs typeface=""/>
      </a:majorFont>
      <a:minorFont>
        <a:latin typeface="HelveticaNeueLT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lIns="108000" tIns="72000" rIns="108000" bIns="72000"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/>
      <a:bodyPr vert="horz" lIns="0" tIns="0" rIns="0" bIns="0" rtlCol="0">
        <a:spAutoFit/>
      </a:bodyPr>
      <a:lstStyle>
        <a:defPPr algn="l">
          <a:defRPr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valtech" id="{BC96A335-B6FE-4039-A29E-E7DD17FD2F01}" vid="{263AFEBC-F909-452F-BB03-2540BAB1E00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Busch</dc:creator>
  <cp:keywords/>
  <dc:description/>
  <cp:lastModifiedBy>Gerold Busch</cp:lastModifiedBy>
  <cp:revision>4</cp:revision>
  <dcterms:created xsi:type="dcterms:W3CDTF">2019-07-05T15:37:00Z</dcterms:created>
  <dcterms:modified xsi:type="dcterms:W3CDTF">2019-07-05T15:51:00Z</dcterms:modified>
</cp:coreProperties>
</file>