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Y</w:t>
      </w:r>
    </w:p>
    <w:p>
      <w:r>
        <w:t>Encryption Policy</w:t>
      </w:r>
    </w:p>
    <w:p>
      <w:r>
        <w:t>Version: 1.0</w:t>
      </w:r>
    </w:p>
    <w:p>
      <w:r>
        <w:t>Company Y encrypts sensitive data at rest using AES-256.</w:t>
      </w:r>
    </w:p>
    <w:p>
      <w:r>
        <w:t>Data in transit must use TLS 1.2 or higher.</w:t>
      </w:r>
    </w:p>
    <w:p>
      <w:r>
        <w:t>Encryption keys are managed through a centralized KMS and rotated at least annually.</w:t>
      </w:r>
    </w:p>
    <w:p>
      <w:r>
        <w:t>Production encryption settings are reviewed by the Security Team.</w:t>
      </w:r>
    </w:p>
    <w:p>
      <w:r>
        <w:t>Owner: Security Team</w:t>
      </w:r>
    </w:p>
    <w:p>
      <w:r>
        <w:t>Review: Annual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