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COMPANY Y</w:t>
      </w:r>
    </w:p>
    <w:p>
      <w:r>
        <w:t>Audit Logging Policy</w:t>
      </w:r>
    </w:p>
    <w:p>
      <w:r>
        <w:t>Version: 1.0</w:t>
      </w:r>
    </w:p>
    <w:p>
      <w:r>
        <w:t>Company Y collects authentication, application, and infrastructure logs.</w:t>
      </w:r>
    </w:p>
    <w:p>
      <w:r>
        <w:t>Security teams can review centralized logs for investigations.</w:t>
      </w:r>
    </w:p>
    <w:p>
      <w:r>
        <w:t>Logs are retained for 90 days.</w:t>
      </w:r>
    </w:p>
    <w:p>
      <w:r>
        <w:t>The current policy does not explicitly require AI inference/activity logging, tamper-evident WORM storage, or 365-day retention for relevant compliance logs.</w:t>
      </w:r>
    </w:p>
    <w:p>
      <w:r>
        <w:t>Owner: Infrastructure and Security Teams</w:t>
      </w:r>
    </w:p>
    <w:p>
      <w:r>
        <w:t>Review: Annual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