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 Y</w:t>
      </w:r>
    </w:p>
    <w:p>
      <w:pPr>
        <w:pStyle w:val="Heading1"/>
      </w:pPr>
      <w:r>
        <w:t>Audit Logging Policy</w:t>
      </w:r>
    </w:p>
    <w:p>
      <w:r>
        <w:t>Version: 2.0</w:t>
      </w:r>
    </w:p>
    <w:p>
      <w:r>
        <w:t>Company Y collects authentication, application, and infrastructure logs.</w:t>
      </w:r>
    </w:p>
    <w:p>
      <w:r>
        <w:t>AI inference activity (queries, model/version used, requesting identity) and administrative changes must also be logged.</w:t>
      </w:r>
    </w:p>
    <w:p>
      <w:r>
        <w:t>Logs are written to tamper-evident, append-only WORM storage (e.g., S3 Object Lock in Compliance mode) with integrity hashes.</w:t>
      </w:r>
    </w:p>
    <w:p>
      <w:r>
        <w:t>Logs are retained for a minimum of 365 days.</w:t>
      </w:r>
    </w:p>
    <w:p>
      <w:r>
        <w:t>Logs are forwarded to the centralized SIEM in real time and reviewed by the Security Team for investigations.</w:t>
      </w:r>
    </w:p>
    <w:p>
      <w:r>
        <w:t>Owner: Infrastructure and Security Teams</w:t>
      </w:r>
    </w:p>
    <w:p>
      <w:r>
        <w:t>Review: Annual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