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Deboistech — Encryption Policy</w:t>
      </w:r>
    </w:p>
    <w:p>
      <w:r>
        <w:t>DEMO DOCUMENT — Prepared solely for MCP compliance-readiness demonstration. Not an official Deboistech policy.</w:t>
      </w:r>
    </w:p>
    <w:p>
      <w:pPr>
        <w:pStyle w:val="Heading2"/>
      </w:pPr>
      <w:r>
        <w:t>Purpose</w:t>
      </w:r>
    </w:p>
    <w:p>
      <w:r>
        <w:t>Defines encryption requirements for protecting Deboistech information.</w:t>
      </w:r>
    </w:p>
    <w:p>
      <w:pPr>
        <w:pStyle w:val="Heading2"/>
      </w:pPr>
      <w:r>
        <w:t>Encryption at Rest</w:t>
      </w:r>
    </w:p>
    <w:p>
      <w:r>
        <w:t>Sensitive data must use AES-256 encryption at rest.</w:t>
      </w:r>
    </w:p>
    <w:p>
      <w:pPr>
        <w:pStyle w:val="Heading2"/>
      </w:pPr>
      <w:r>
        <w:t>Encryption in Transit</w:t>
      </w:r>
    </w:p>
    <w:p>
      <w:r>
        <w:t>Sensitive network communication must use TLS 1.2 or stronger.</w:t>
      </w:r>
    </w:p>
    <w:p>
      <w:pPr>
        <w:pStyle w:val="Heading2"/>
      </w:pPr>
      <w:r>
        <w:t>Key Management</w:t>
      </w:r>
    </w:p>
    <w:p>
      <w:r>
        <w:t>Encryption keys are managed through an approved key management service and rotated at least annually.</w:t>
      </w:r>
    </w:p>
    <w:p>
      <w:pPr>
        <w:pStyle w:val="Heading2"/>
      </w:pPr>
      <w:r>
        <w:t>Exceptions</w:t>
      </w:r>
    </w:p>
    <w:p>
      <w:r>
        <w:t>Security approval is required for encryption exceptions.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