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Deboistech — Access Control Policy v2</w:t>
      </w:r>
    </w:p>
    <w:p>
      <w:r>
        <w:t>DEMO DOCUMENT — Prepared solely for MCP compliance-readiness demonstration. Not an official Deboistech policy.</w:t>
      </w:r>
    </w:p>
    <w:p>
      <w:pPr>
        <w:pStyle w:val="Heading2"/>
      </w:pPr>
      <w:r>
        <w:t>Purpose</w:t>
      </w:r>
    </w:p>
    <w:p>
      <w:r>
        <w:t>Defines identity, authentication, authorization, and privileged access requirements.</w:t>
      </w:r>
    </w:p>
    <w:p>
      <w:pPr>
        <w:pStyle w:val="Heading2"/>
      </w:pPr>
      <w:r>
        <w:t>Authentication</w:t>
      </w:r>
    </w:p>
    <w:p>
      <w:r>
        <w:t>All users must have individual accounts and MFA. Privileged users and users accessing sensitive systems must use phishing-resistant MFA such as FIDO2 security keys or approved hardware-based authentication.</w:t>
      </w:r>
    </w:p>
    <w:p>
      <w:pPr>
        <w:pStyle w:val="Heading2"/>
      </w:pPr>
      <w:r>
        <w:t>Fine-Grained RBAC</w:t>
      </w:r>
    </w:p>
    <w:p>
      <w:r>
        <w:t>Sensitive systems must use fine-grained role-based access control based on least privilege and job responsibilities.</w:t>
      </w:r>
    </w:p>
    <w:p>
      <w:pPr>
        <w:pStyle w:val="Heading2"/>
      </w:pPr>
      <w:r>
        <w:t>U.S.-Person Verification</w:t>
      </w:r>
    </w:p>
    <w:p>
      <w:r>
        <w:t>Access to systems and data within the U.S.-only security boundary is restricted to verified U.S. persons where required by the applicable security or contractual requirements.</w:t>
      </w:r>
    </w:p>
    <w:p>
      <w:pPr>
        <w:pStyle w:val="Heading2"/>
      </w:pPr>
      <w:r>
        <w:t>Administrative Access</w:t>
      </w:r>
    </w:p>
    <w:p>
      <w:r>
        <w:t>Shared administrative accounts are prohibited. Each administrator must use an individual attributable privileged account.</w:t>
      </w:r>
    </w:p>
    <w:p>
      <w:pPr>
        <w:pStyle w:val="Heading2"/>
      </w:pPr>
      <w:r>
        <w:t>Access Review</w:t>
      </w:r>
    </w:p>
    <w:p>
      <w:r>
        <w:t>User and privileged access is reviewed at least quarterly.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