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Deboistech — Incident Response Policy</w:t>
      </w:r>
    </w:p>
    <w:p>
      <w:r>
        <w:t>DEMO DOCUMENT — Prepared solely for MCP compliance-readiness demonstration. Not an official Deboistech policy.</w:t>
      </w:r>
    </w:p>
    <w:p>
      <w:pPr>
        <w:pStyle w:val="Heading2"/>
      </w:pPr>
      <w:r>
        <w:t>Purpose</w:t>
      </w:r>
    </w:p>
    <w:p>
      <w:r>
        <w:t>Defines how Deboistech detects, manages, and communicates security incidents.</w:t>
      </w:r>
    </w:p>
    <w:p>
      <w:pPr>
        <w:pStyle w:val="Heading2"/>
      </w:pPr>
      <w:r>
        <w:t>Incident Handling</w:t>
      </w:r>
    </w:p>
    <w:p>
      <w:r>
        <w:t>Security incidents are recorded, investigated, contained, and resolved according to the incident response process.</w:t>
      </w:r>
    </w:p>
    <w:p>
      <w:pPr>
        <w:pStyle w:val="Heading2"/>
      </w:pPr>
      <w:r>
        <w:t>Notification</w:t>
      </w:r>
    </w:p>
    <w:p>
      <w:r>
        <w:t>Relevant stakeholders should be notified within 48 hours of a confirmed security incident when notification is required.</w:t>
      </w:r>
    </w:p>
    <w:p>
      <w:pPr>
        <w:pStyle w:val="Heading2"/>
      </w:pPr>
      <w:r>
        <w:t>Evidence</w:t>
      </w:r>
    </w:p>
    <w:p>
      <w:r>
        <w:t>Relevant incident evidence is retained according to normal system retention settings.</w:t>
      </w:r>
    </w:p>
    <w:p>
      <w:pPr>
        <w:pStyle w:val="Heading2"/>
      </w:pPr>
      <w:r>
        <w:t>Post-Incident Review</w:t>
      </w:r>
    </w:p>
    <w:p>
      <w:r>
        <w:t>Material incidents are reviewed after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