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Deboistech — Incident Response Policy v2</w:t>
      </w:r>
    </w:p>
    <w:p>
      <w:r>
        <w:t>DEMO DOCUMENT — Prepared solely for MCP compliance-readiness demonstration. Not an official Deboistech policy.</w:t>
      </w:r>
    </w:p>
    <w:p>
      <w:pPr>
        <w:pStyle w:val="Heading2"/>
      </w:pPr>
      <w:r>
        <w:t>Purpose</w:t>
      </w:r>
    </w:p>
    <w:p>
      <w:r>
        <w:t>Defines how Deboistech detects, manages, documents, and communicates security incidents.</w:t>
      </w:r>
    </w:p>
    <w:p>
      <w:pPr>
        <w:pStyle w:val="Heading2"/>
      </w:pPr>
      <w:r>
        <w:t>Incident Handling</w:t>
      </w:r>
    </w:p>
    <w:p>
      <w:r>
        <w:t>Security incidents are recorded, investigated, contained, and resolved according to the incident response process.</w:t>
      </w:r>
    </w:p>
    <w:p>
      <w:pPr>
        <w:pStyle w:val="Heading2"/>
      </w:pPr>
      <w:r>
        <w:t>Notification SLA</w:t>
      </w:r>
    </w:p>
    <w:p>
      <w:r>
        <w:t>For incidents subject to the applicable security requirements, Deboistech will notify the designated customer/authority and relevant compliance contact within 72 hours of becoming aware of the incident, or sooner when a contractual or legal deadline requires it.</w:t>
      </w:r>
    </w:p>
    <w:p>
      <w:pPr>
        <w:pStyle w:val="Heading2"/>
      </w:pPr>
      <w:r>
        <w:t>Forensic Preservation</w:t>
      </w:r>
    </w:p>
    <w:p>
      <w:r>
        <w:t>Relevant logs, evidence, and forensic snapshots for security incidents must be preserved for at least 90 days unless a longer period is required.</w:t>
      </w:r>
    </w:p>
    <w:p>
      <w:pPr>
        <w:pStyle w:val="Heading2"/>
      </w:pPr>
      <w:r>
        <w:t>Post-Incident Review</w:t>
      </w:r>
    </w:p>
    <w:p>
      <w:r>
        <w:t>Material incidents receive a documented review with corrective actions and assigned owners.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