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Deboistech — Audit Logging Policy</w:t>
      </w:r>
    </w:p>
    <w:p>
      <w:r>
        <w:t>DEMO DOCUMENT — Prepared solely for MCP compliance-readiness demonstration. Not an official Deboistech policy.</w:t>
      </w:r>
    </w:p>
    <w:p>
      <w:pPr>
        <w:pStyle w:val="Heading2"/>
      </w:pPr>
      <w:r>
        <w:t>Purpose</w:t>
      </w:r>
    </w:p>
    <w:p>
      <w:r>
        <w:t>Defines logging requirements for Deboistech systems.</w:t>
      </w:r>
    </w:p>
    <w:p>
      <w:pPr>
        <w:pStyle w:val="Heading2"/>
      </w:pPr>
      <w:r>
        <w:t>Logging</w:t>
      </w:r>
    </w:p>
    <w:p>
      <w:r>
        <w:t>Security-relevant system events and authentication events must be logged.</w:t>
      </w:r>
    </w:p>
    <w:p>
      <w:pPr>
        <w:pStyle w:val="Heading2"/>
      </w:pPr>
      <w:r>
        <w:t>Retention</w:t>
      </w:r>
    </w:p>
    <w:p>
      <w:r>
        <w:t>Audit logs are retained for at least 90 days.</w:t>
      </w:r>
    </w:p>
    <w:p>
      <w:pPr>
        <w:pStyle w:val="Heading2"/>
      </w:pPr>
      <w:r>
        <w:t>Access</w:t>
      </w:r>
    </w:p>
    <w:p>
      <w:r>
        <w:t>Access to audit logs is restricted to authorized personnel.</w:t>
      </w:r>
    </w:p>
    <w:p>
      <w:pPr>
        <w:pStyle w:val="Heading2"/>
      </w:pPr>
      <w:r>
        <w:t>Monitoring</w:t>
      </w:r>
    </w:p>
    <w:p>
      <w:r>
        <w:t>Security teams review logs when investigating security events.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