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Audit Logging Policy v2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logging, retention, integrity, monitoring, and audit requirements.</w:t>
      </w:r>
    </w:p>
    <w:p>
      <w:pPr>
        <w:pStyle w:val="Heading2"/>
      </w:pPr>
      <w:r>
        <w:t>Security Logging</w:t>
      </w:r>
    </w:p>
    <w:p>
      <w:r>
        <w:t>Security, authentication, authorization, administrative, and relevant application events must be logged.</w:t>
      </w:r>
    </w:p>
    <w:p>
      <w:pPr>
        <w:pStyle w:val="Heading2"/>
      </w:pPr>
      <w:r>
        <w:t>AI Inference Telemetry</w:t>
      </w:r>
    </w:p>
    <w:p>
      <w:r>
        <w:t>AI model inference activity associated with sensitive workloads must generate auditable telemetry including identity, timestamp, model/system identifier, and outcome metadata where technically available.</w:t>
      </w:r>
    </w:p>
    <w:p>
      <w:pPr>
        <w:pStyle w:val="Heading2"/>
      </w:pPr>
      <w:r>
        <w:t>Retention</w:t>
      </w:r>
    </w:p>
    <w:p>
      <w:r>
        <w:t>Audit logs must be retained for at least 365 days unless a longer requirement applies.</w:t>
      </w:r>
    </w:p>
    <w:p>
      <w:pPr>
        <w:pStyle w:val="Heading2"/>
      </w:pPr>
      <w:r>
        <w:t>Immutable Storage</w:t>
      </w:r>
    </w:p>
    <w:p>
      <w:r>
        <w:t>Audit and security logs must be stored in append-only or WORM-capable storage protected against unauthorized modification or deletion.</w:t>
      </w:r>
    </w:p>
    <w:p>
      <w:pPr>
        <w:pStyle w:val="Heading2"/>
      </w:pPr>
      <w:r>
        <w:t>Access and Monitoring</w:t>
      </w:r>
    </w:p>
    <w:p>
      <w:r>
        <w:t>Access to logs is restricted to authorized personnel and is itself auditable. Security teams monitor relevant logging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