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00D95" w14:textId="410BE2E8" w:rsidR="00C90957" w:rsidRPr="00D24D08" w:rsidRDefault="00C90957" w:rsidP="00C90957">
      <w:pPr>
        <w:pStyle w:val="Title"/>
      </w:pPr>
      <w:r w:rsidRPr="00D24D08">
        <w:t xml:space="preserve">Guide </w:t>
      </w:r>
      <w:r w:rsidR="00D22176" w:rsidRPr="00D24D08">
        <w:t>pour l</w:t>
      </w:r>
      <w:r w:rsidR="00FE6A95">
        <w:t>’</w:t>
      </w:r>
      <w:r w:rsidR="00D22176" w:rsidRPr="00D24D08">
        <w:t>inclusion de l</w:t>
      </w:r>
      <w:r w:rsidR="00FE6A95">
        <w:t>’</w:t>
      </w:r>
      <w:r w:rsidR="00D22176" w:rsidRPr="00D24D08">
        <w:t>accessibilité dans l</w:t>
      </w:r>
      <w:r w:rsidR="00FE6A95">
        <w:t>’</w:t>
      </w:r>
      <w:r w:rsidR="00D22176" w:rsidRPr="00D24D08">
        <w:t xml:space="preserve">approvisionnement lié </w:t>
      </w:r>
      <w:r w:rsidR="00140CB8" w:rsidRPr="00D24D08">
        <w:t xml:space="preserve">aux </w:t>
      </w:r>
      <w:r w:rsidR="00D22176" w:rsidRPr="00D24D08">
        <w:t>technologie</w:t>
      </w:r>
      <w:r w:rsidR="00140CB8" w:rsidRPr="00D24D08">
        <w:t>s</w:t>
      </w:r>
      <w:r w:rsidR="00D22176" w:rsidRPr="00D24D08">
        <w:t xml:space="preserve"> de l</w:t>
      </w:r>
      <w:r w:rsidR="00FE6A95">
        <w:t>’</w:t>
      </w:r>
      <w:r w:rsidR="00D22176" w:rsidRPr="00D24D08">
        <w:t>information et des c</w:t>
      </w:r>
      <w:r w:rsidRPr="00D24D08">
        <w:t>ommunication</w:t>
      </w:r>
      <w:r w:rsidR="00D22176" w:rsidRPr="00D24D08">
        <w:t>s</w:t>
      </w:r>
      <w:r w:rsidRPr="00D24D08">
        <w:t xml:space="preserve"> </w:t>
      </w:r>
      <w:r w:rsidR="00D22176" w:rsidRPr="00D24D08">
        <w:t xml:space="preserve">(TIC) </w:t>
      </w:r>
      <w:r w:rsidR="001A754A" w:rsidRPr="00D24D08">
        <w:t>(</w:t>
      </w:r>
      <w:r w:rsidR="00D22176" w:rsidRPr="00D24D08">
        <w:t>le « Guide »</w:t>
      </w:r>
      <w:r w:rsidR="00FE6A95">
        <w:t>)</w:t>
      </w:r>
    </w:p>
    <w:sdt>
      <w:sdtPr>
        <w:rPr>
          <w:rFonts w:ascii="Arial" w:eastAsiaTheme="minorHAnsi" w:hAnsi="Arial" w:cstheme="minorBidi"/>
          <w:color w:val="auto"/>
          <w:sz w:val="24"/>
          <w:szCs w:val="22"/>
        </w:rPr>
        <w:id w:val="572705866"/>
        <w:docPartObj>
          <w:docPartGallery w:val="Table of Contents"/>
          <w:docPartUnique/>
        </w:docPartObj>
      </w:sdtPr>
      <w:sdtEndPr>
        <w:rPr>
          <w:rFonts w:asciiTheme="minorHAnsi" w:hAnsiTheme="minorHAnsi"/>
          <w:b/>
          <w:bCs/>
          <w:noProof/>
        </w:rPr>
      </w:sdtEndPr>
      <w:sdtContent>
        <w:p w14:paraId="7F4FB5CA" w14:textId="72819D94" w:rsidR="00A70FF5" w:rsidRPr="00D24D08" w:rsidRDefault="00D22176">
          <w:pPr>
            <w:pStyle w:val="TOCHeading"/>
          </w:pPr>
          <w:r w:rsidRPr="00D24D08">
            <w:t>Table des matières</w:t>
          </w:r>
        </w:p>
        <w:p w14:paraId="78354459" w14:textId="7227579A" w:rsidR="004427E4" w:rsidRDefault="00A70FF5">
          <w:pPr>
            <w:pStyle w:val="TOC1"/>
            <w:rPr>
              <w:rFonts w:eastAsiaTheme="minorEastAsia"/>
              <w:noProof/>
              <w:kern w:val="2"/>
              <w:sz w:val="22"/>
              <w:lang w:val="en-CA" w:eastAsia="en-CA"/>
              <w14:ligatures w14:val="standardContextual"/>
            </w:rPr>
          </w:pPr>
          <w:r w:rsidRPr="00D24D08">
            <w:fldChar w:fldCharType="begin"/>
          </w:r>
          <w:r w:rsidRPr="00D24D08">
            <w:instrText xml:space="preserve"> TOC \o "1-3" \h \z \u </w:instrText>
          </w:r>
          <w:r w:rsidRPr="00D24D08">
            <w:fldChar w:fldCharType="separate"/>
          </w:r>
          <w:hyperlink w:anchor="_Toc187907158" w:history="1">
            <w:r w:rsidR="004427E4" w:rsidRPr="004232A1">
              <w:rPr>
                <w:rStyle w:val="Hyperlink"/>
                <w:noProof/>
              </w:rPr>
              <w:t>À propos du Guide</w:t>
            </w:r>
            <w:r w:rsidR="004427E4">
              <w:rPr>
                <w:noProof/>
                <w:webHidden/>
              </w:rPr>
              <w:tab/>
            </w:r>
            <w:r w:rsidR="004427E4">
              <w:rPr>
                <w:noProof/>
                <w:webHidden/>
              </w:rPr>
              <w:fldChar w:fldCharType="begin"/>
            </w:r>
            <w:r w:rsidR="004427E4">
              <w:rPr>
                <w:noProof/>
                <w:webHidden/>
              </w:rPr>
              <w:instrText xml:space="preserve"> PAGEREF _Toc187907158 \h </w:instrText>
            </w:r>
            <w:r w:rsidR="004427E4">
              <w:rPr>
                <w:noProof/>
                <w:webHidden/>
              </w:rPr>
            </w:r>
            <w:r w:rsidR="004427E4">
              <w:rPr>
                <w:noProof/>
                <w:webHidden/>
              </w:rPr>
              <w:fldChar w:fldCharType="separate"/>
            </w:r>
            <w:r w:rsidR="004427E4">
              <w:rPr>
                <w:noProof/>
                <w:webHidden/>
              </w:rPr>
              <w:t>2</w:t>
            </w:r>
            <w:r w:rsidR="004427E4">
              <w:rPr>
                <w:noProof/>
                <w:webHidden/>
              </w:rPr>
              <w:fldChar w:fldCharType="end"/>
            </w:r>
          </w:hyperlink>
        </w:p>
        <w:p w14:paraId="2E8BF149" w14:textId="53B2804A" w:rsidR="004427E4" w:rsidRDefault="004427E4">
          <w:pPr>
            <w:pStyle w:val="TOC1"/>
            <w:rPr>
              <w:rFonts w:eastAsiaTheme="minorEastAsia"/>
              <w:noProof/>
              <w:kern w:val="2"/>
              <w:sz w:val="22"/>
              <w:lang w:val="en-CA" w:eastAsia="en-CA"/>
              <w14:ligatures w14:val="standardContextual"/>
            </w:rPr>
          </w:pPr>
          <w:hyperlink w:anchor="_Toc187907159" w:history="1">
            <w:r w:rsidRPr="004232A1">
              <w:rPr>
                <w:rStyle w:val="Hyperlink"/>
                <w:noProof/>
              </w:rPr>
              <w:t>Auditoire</w:t>
            </w:r>
            <w:r>
              <w:rPr>
                <w:noProof/>
                <w:webHidden/>
              </w:rPr>
              <w:tab/>
            </w:r>
            <w:r>
              <w:rPr>
                <w:noProof/>
                <w:webHidden/>
              </w:rPr>
              <w:fldChar w:fldCharType="begin"/>
            </w:r>
            <w:r>
              <w:rPr>
                <w:noProof/>
                <w:webHidden/>
              </w:rPr>
              <w:instrText xml:space="preserve"> PAGEREF _Toc187907159 \h </w:instrText>
            </w:r>
            <w:r>
              <w:rPr>
                <w:noProof/>
                <w:webHidden/>
              </w:rPr>
            </w:r>
            <w:r>
              <w:rPr>
                <w:noProof/>
                <w:webHidden/>
              </w:rPr>
              <w:fldChar w:fldCharType="separate"/>
            </w:r>
            <w:r>
              <w:rPr>
                <w:noProof/>
                <w:webHidden/>
              </w:rPr>
              <w:t>3</w:t>
            </w:r>
            <w:r>
              <w:rPr>
                <w:noProof/>
                <w:webHidden/>
              </w:rPr>
              <w:fldChar w:fldCharType="end"/>
            </w:r>
          </w:hyperlink>
        </w:p>
        <w:p w14:paraId="49B4472C" w14:textId="511B68F8" w:rsidR="004427E4" w:rsidRDefault="004427E4">
          <w:pPr>
            <w:pStyle w:val="TOC1"/>
            <w:rPr>
              <w:rFonts w:eastAsiaTheme="minorEastAsia"/>
              <w:noProof/>
              <w:kern w:val="2"/>
              <w:sz w:val="22"/>
              <w:lang w:val="en-CA" w:eastAsia="en-CA"/>
              <w14:ligatures w14:val="standardContextual"/>
            </w:rPr>
          </w:pPr>
          <w:hyperlink w:anchor="_Toc187907160" w:history="1">
            <w:r w:rsidRPr="004232A1">
              <w:rPr>
                <w:rStyle w:val="Hyperlink"/>
                <w:noProof/>
              </w:rPr>
              <w:t>Contexte</w:t>
            </w:r>
            <w:r>
              <w:rPr>
                <w:noProof/>
                <w:webHidden/>
              </w:rPr>
              <w:tab/>
            </w:r>
            <w:r>
              <w:rPr>
                <w:noProof/>
                <w:webHidden/>
              </w:rPr>
              <w:fldChar w:fldCharType="begin"/>
            </w:r>
            <w:r>
              <w:rPr>
                <w:noProof/>
                <w:webHidden/>
              </w:rPr>
              <w:instrText xml:space="preserve"> PAGEREF _Toc187907160 \h </w:instrText>
            </w:r>
            <w:r>
              <w:rPr>
                <w:noProof/>
                <w:webHidden/>
              </w:rPr>
            </w:r>
            <w:r>
              <w:rPr>
                <w:noProof/>
                <w:webHidden/>
              </w:rPr>
              <w:fldChar w:fldCharType="separate"/>
            </w:r>
            <w:r>
              <w:rPr>
                <w:noProof/>
                <w:webHidden/>
              </w:rPr>
              <w:t>3</w:t>
            </w:r>
            <w:r>
              <w:rPr>
                <w:noProof/>
                <w:webHidden/>
              </w:rPr>
              <w:fldChar w:fldCharType="end"/>
            </w:r>
          </w:hyperlink>
        </w:p>
        <w:p w14:paraId="241B5208" w14:textId="1CF7A321" w:rsidR="004427E4" w:rsidRDefault="004427E4">
          <w:pPr>
            <w:pStyle w:val="TOC1"/>
            <w:rPr>
              <w:rFonts w:eastAsiaTheme="minorEastAsia"/>
              <w:noProof/>
              <w:kern w:val="2"/>
              <w:sz w:val="22"/>
              <w:lang w:val="en-CA" w:eastAsia="en-CA"/>
              <w14:ligatures w14:val="standardContextual"/>
            </w:rPr>
          </w:pPr>
          <w:hyperlink w:anchor="_Toc187907161" w:history="1">
            <w:r w:rsidRPr="004232A1">
              <w:rPr>
                <w:rStyle w:val="Hyperlink"/>
                <w:noProof/>
                <w:lang w:eastAsia="en-CA"/>
              </w:rPr>
              <w:t>À propos de la norme EN 301 549</w:t>
            </w:r>
            <w:r>
              <w:rPr>
                <w:noProof/>
                <w:webHidden/>
              </w:rPr>
              <w:tab/>
            </w:r>
            <w:r>
              <w:rPr>
                <w:noProof/>
                <w:webHidden/>
              </w:rPr>
              <w:fldChar w:fldCharType="begin"/>
            </w:r>
            <w:r>
              <w:rPr>
                <w:noProof/>
                <w:webHidden/>
              </w:rPr>
              <w:instrText xml:space="preserve"> PAGEREF _Toc187907161 \h </w:instrText>
            </w:r>
            <w:r>
              <w:rPr>
                <w:noProof/>
                <w:webHidden/>
              </w:rPr>
            </w:r>
            <w:r>
              <w:rPr>
                <w:noProof/>
                <w:webHidden/>
              </w:rPr>
              <w:fldChar w:fldCharType="separate"/>
            </w:r>
            <w:r>
              <w:rPr>
                <w:noProof/>
                <w:webHidden/>
              </w:rPr>
              <w:t>4</w:t>
            </w:r>
            <w:r>
              <w:rPr>
                <w:noProof/>
                <w:webHidden/>
              </w:rPr>
              <w:fldChar w:fldCharType="end"/>
            </w:r>
          </w:hyperlink>
        </w:p>
        <w:p w14:paraId="4726B7BA" w14:textId="4CEE9D23"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62" w:history="1">
            <w:r w:rsidRPr="004232A1">
              <w:rPr>
                <w:rStyle w:val="Hyperlink"/>
                <w:noProof/>
              </w:rPr>
              <w:t>Normes d’accessibilité Canada adopte la norme the EN 301 549</w:t>
            </w:r>
            <w:r>
              <w:rPr>
                <w:noProof/>
                <w:webHidden/>
              </w:rPr>
              <w:tab/>
            </w:r>
            <w:r>
              <w:rPr>
                <w:noProof/>
                <w:webHidden/>
              </w:rPr>
              <w:fldChar w:fldCharType="begin"/>
            </w:r>
            <w:r>
              <w:rPr>
                <w:noProof/>
                <w:webHidden/>
              </w:rPr>
              <w:instrText xml:space="preserve"> PAGEREF _Toc187907162 \h </w:instrText>
            </w:r>
            <w:r>
              <w:rPr>
                <w:noProof/>
                <w:webHidden/>
              </w:rPr>
            </w:r>
            <w:r>
              <w:rPr>
                <w:noProof/>
                <w:webHidden/>
              </w:rPr>
              <w:fldChar w:fldCharType="separate"/>
            </w:r>
            <w:r>
              <w:rPr>
                <w:noProof/>
                <w:webHidden/>
              </w:rPr>
              <w:t>5</w:t>
            </w:r>
            <w:r>
              <w:rPr>
                <w:noProof/>
                <w:webHidden/>
              </w:rPr>
              <w:fldChar w:fldCharType="end"/>
            </w:r>
          </w:hyperlink>
        </w:p>
        <w:p w14:paraId="3363249A" w14:textId="09180974"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63" w:history="1">
            <w:r w:rsidRPr="004232A1">
              <w:rPr>
                <w:rStyle w:val="Hyperlink"/>
                <w:noProof/>
              </w:rPr>
              <w:t>Utilisez la norme EN 301 549 (2021) plutôt que seulement n’importe quelle version des Règles pour l’accessibilité des contenus Web (WCAG)</w:t>
            </w:r>
            <w:r>
              <w:rPr>
                <w:noProof/>
                <w:webHidden/>
              </w:rPr>
              <w:tab/>
            </w:r>
            <w:r>
              <w:rPr>
                <w:noProof/>
                <w:webHidden/>
              </w:rPr>
              <w:fldChar w:fldCharType="begin"/>
            </w:r>
            <w:r>
              <w:rPr>
                <w:noProof/>
                <w:webHidden/>
              </w:rPr>
              <w:instrText xml:space="preserve"> PAGEREF _Toc187907163 \h </w:instrText>
            </w:r>
            <w:r>
              <w:rPr>
                <w:noProof/>
                <w:webHidden/>
              </w:rPr>
            </w:r>
            <w:r>
              <w:rPr>
                <w:noProof/>
                <w:webHidden/>
              </w:rPr>
              <w:fldChar w:fldCharType="separate"/>
            </w:r>
            <w:r>
              <w:rPr>
                <w:noProof/>
                <w:webHidden/>
              </w:rPr>
              <w:t>5</w:t>
            </w:r>
            <w:r>
              <w:rPr>
                <w:noProof/>
                <w:webHidden/>
              </w:rPr>
              <w:fldChar w:fldCharType="end"/>
            </w:r>
          </w:hyperlink>
        </w:p>
        <w:p w14:paraId="7D7FED1A" w14:textId="2BB8C9DE"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64" w:history="1">
            <w:r w:rsidRPr="004232A1">
              <w:rPr>
                <w:rStyle w:val="Hyperlink"/>
                <w:noProof/>
              </w:rPr>
              <w:t>Intégrez la norme EN 301 549 (2021) en tant que pratique exemplaire</w:t>
            </w:r>
            <w:r>
              <w:rPr>
                <w:noProof/>
                <w:webHidden/>
              </w:rPr>
              <w:tab/>
            </w:r>
            <w:r>
              <w:rPr>
                <w:noProof/>
                <w:webHidden/>
              </w:rPr>
              <w:fldChar w:fldCharType="begin"/>
            </w:r>
            <w:r>
              <w:rPr>
                <w:noProof/>
                <w:webHidden/>
              </w:rPr>
              <w:instrText xml:space="preserve"> PAGEREF _Toc187907164 \h </w:instrText>
            </w:r>
            <w:r>
              <w:rPr>
                <w:noProof/>
                <w:webHidden/>
              </w:rPr>
            </w:r>
            <w:r>
              <w:rPr>
                <w:noProof/>
                <w:webHidden/>
              </w:rPr>
              <w:fldChar w:fldCharType="separate"/>
            </w:r>
            <w:r>
              <w:rPr>
                <w:noProof/>
                <w:webHidden/>
              </w:rPr>
              <w:t>6</w:t>
            </w:r>
            <w:r>
              <w:rPr>
                <w:noProof/>
                <w:webHidden/>
              </w:rPr>
              <w:fldChar w:fldCharType="end"/>
            </w:r>
          </w:hyperlink>
        </w:p>
        <w:p w14:paraId="2FB7F163" w14:textId="45357A29"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65" w:history="1">
            <w:r w:rsidRPr="004232A1">
              <w:rPr>
                <w:rStyle w:val="Hyperlink"/>
                <w:noProof/>
              </w:rPr>
              <w:t>Rôles et responsabilités</w:t>
            </w:r>
            <w:r>
              <w:rPr>
                <w:noProof/>
                <w:webHidden/>
              </w:rPr>
              <w:tab/>
            </w:r>
            <w:r>
              <w:rPr>
                <w:noProof/>
                <w:webHidden/>
              </w:rPr>
              <w:fldChar w:fldCharType="begin"/>
            </w:r>
            <w:r>
              <w:rPr>
                <w:noProof/>
                <w:webHidden/>
              </w:rPr>
              <w:instrText xml:space="preserve"> PAGEREF _Toc187907165 \h </w:instrText>
            </w:r>
            <w:r>
              <w:rPr>
                <w:noProof/>
                <w:webHidden/>
              </w:rPr>
            </w:r>
            <w:r>
              <w:rPr>
                <w:noProof/>
                <w:webHidden/>
              </w:rPr>
              <w:fldChar w:fldCharType="separate"/>
            </w:r>
            <w:r>
              <w:rPr>
                <w:noProof/>
                <w:webHidden/>
              </w:rPr>
              <w:t>7</w:t>
            </w:r>
            <w:r>
              <w:rPr>
                <w:noProof/>
                <w:webHidden/>
              </w:rPr>
              <w:fldChar w:fldCharType="end"/>
            </w:r>
          </w:hyperlink>
        </w:p>
        <w:p w14:paraId="3EB42F04" w14:textId="54A552A5"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66" w:history="1">
            <w:r w:rsidRPr="004232A1">
              <w:rPr>
                <w:rStyle w:val="Hyperlink"/>
                <w:noProof/>
              </w:rPr>
              <w:t>Ministères et organismes</w:t>
            </w:r>
            <w:r>
              <w:rPr>
                <w:noProof/>
                <w:webHidden/>
              </w:rPr>
              <w:tab/>
            </w:r>
            <w:r>
              <w:rPr>
                <w:noProof/>
                <w:webHidden/>
              </w:rPr>
              <w:fldChar w:fldCharType="begin"/>
            </w:r>
            <w:r>
              <w:rPr>
                <w:noProof/>
                <w:webHidden/>
              </w:rPr>
              <w:instrText xml:space="preserve"> PAGEREF _Toc187907166 \h </w:instrText>
            </w:r>
            <w:r>
              <w:rPr>
                <w:noProof/>
                <w:webHidden/>
              </w:rPr>
            </w:r>
            <w:r>
              <w:rPr>
                <w:noProof/>
                <w:webHidden/>
              </w:rPr>
              <w:fldChar w:fldCharType="separate"/>
            </w:r>
            <w:r>
              <w:rPr>
                <w:noProof/>
                <w:webHidden/>
              </w:rPr>
              <w:t>7</w:t>
            </w:r>
            <w:r>
              <w:rPr>
                <w:noProof/>
                <w:webHidden/>
              </w:rPr>
              <w:fldChar w:fldCharType="end"/>
            </w:r>
          </w:hyperlink>
        </w:p>
        <w:p w14:paraId="217C944E" w14:textId="57DD00BA" w:rsidR="004427E4" w:rsidRDefault="004427E4">
          <w:pPr>
            <w:pStyle w:val="TOC1"/>
            <w:rPr>
              <w:rFonts w:eastAsiaTheme="minorEastAsia"/>
              <w:noProof/>
              <w:kern w:val="2"/>
              <w:sz w:val="22"/>
              <w:lang w:val="en-CA" w:eastAsia="en-CA"/>
              <w14:ligatures w14:val="standardContextual"/>
            </w:rPr>
          </w:pPr>
          <w:hyperlink w:anchor="_Toc187907167" w:history="1">
            <w:r w:rsidRPr="004232A1">
              <w:rPr>
                <w:rStyle w:val="Hyperlink"/>
                <w:noProof/>
              </w:rPr>
              <w:t>Le résumé du processus doit inclure les exigences d’accessibilité dans les approvisionnements liés aux TIC</w:t>
            </w:r>
            <w:r>
              <w:rPr>
                <w:noProof/>
                <w:webHidden/>
              </w:rPr>
              <w:tab/>
            </w:r>
            <w:r>
              <w:rPr>
                <w:noProof/>
                <w:webHidden/>
              </w:rPr>
              <w:fldChar w:fldCharType="begin"/>
            </w:r>
            <w:r>
              <w:rPr>
                <w:noProof/>
                <w:webHidden/>
              </w:rPr>
              <w:instrText xml:space="preserve"> PAGEREF _Toc187907167 \h </w:instrText>
            </w:r>
            <w:r>
              <w:rPr>
                <w:noProof/>
                <w:webHidden/>
              </w:rPr>
            </w:r>
            <w:r>
              <w:rPr>
                <w:noProof/>
                <w:webHidden/>
              </w:rPr>
              <w:fldChar w:fldCharType="separate"/>
            </w:r>
            <w:r>
              <w:rPr>
                <w:noProof/>
                <w:webHidden/>
              </w:rPr>
              <w:t>7</w:t>
            </w:r>
            <w:r>
              <w:rPr>
                <w:noProof/>
                <w:webHidden/>
              </w:rPr>
              <w:fldChar w:fldCharType="end"/>
            </w:r>
          </w:hyperlink>
        </w:p>
        <w:p w14:paraId="435244BC" w14:textId="10A1C957"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68" w:history="1">
            <w:r w:rsidRPr="004232A1">
              <w:rPr>
                <w:rStyle w:val="Hyperlink"/>
                <w:noProof/>
              </w:rPr>
              <w:t>On encourage fortement les propriétaires fonctionnels à :</w:t>
            </w:r>
            <w:r>
              <w:rPr>
                <w:noProof/>
                <w:webHidden/>
              </w:rPr>
              <w:tab/>
            </w:r>
            <w:r>
              <w:rPr>
                <w:noProof/>
                <w:webHidden/>
              </w:rPr>
              <w:fldChar w:fldCharType="begin"/>
            </w:r>
            <w:r>
              <w:rPr>
                <w:noProof/>
                <w:webHidden/>
              </w:rPr>
              <w:instrText xml:space="preserve"> PAGEREF _Toc187907168 \h </w:instrText>
            </w:r>
            <w:r>
              <w:rPr>
                <w:noProof/>
                <w:webHidden/>
              </w:rPr>
            </w:r>
            <w:r>
              <w:rPr>
                <w:noProof/>
                <w:webHidden/>
              </w:rPr>
              <w:fldChar w:fldCharType="separate"/>
            </w:r>
            <w:r>
              <w:rPr>
                <w:noProof/>
                <w:webHidden/>
              </w:rPr>
              <w:t>7</w:t>
            </w:r>
            <w:r>
              <w:rPr>
                <w:noProof/>
                <w:webHidden/>
              </w:rPr>
              <w:fldChar w:fldCharType="end"/>
            </w:r>
          </w:hyperlink>
        </w:p>
        <w:p w14:paraId="4623B651" w14:textId="15763F69"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69" w:history="1">
            <w:r w:rsidRPr="004232A1">
              <w:rPr>
                <w:rStyle w:val="Hyperlink"/>
                <w:noProof/>
              </w:rPr>
              <w:t>On encourage fortement les autorités contractantes à :</w:t>
            </w:r>
            <w:r>
              <w:rPr>
                <w:noProof/>
                <w:webHidden/>
              </w:rPr>
              <w:tab/>
            </w:r>
            <w:r>
              <w:rPr>
                <w:noProof/>
                <w:webHidden/>
              </w:rPr>
              <w:fldChar w:fldCharType="begin"/>
            </w:r>
            <w:r>
              <w:rPr>
                <w:noProof/>
                <w:webHidden/>
              </w:rPr>
              <w:instrText xml:space="preserve"> PAGEREF _Toc187907169 \h </w:instrText>
            </w:r>
            <w:r>
              <w:rPr>
                <w:noProof/>
                <w:webHidden/>
              </w:rPr>
            </w:r>
            <w:r>
              <w:rPr>
                <w:noProof/>
                <w:webHidden/>
              </w:rPr>
              <w:fldChar w:fldCharType="separate"/>
            </w:r>
            <w:r>
              <w:rPr>
                <w:noProof/>
                <w:webHidden/>
              </w:rPr>
              <w:t>11</w:t>
            </w:r>
            <w:r>
              <w:rPr>
                <w:noProof/>
                <w:webHidden/>
              </w:rPr>
              <w:fldChar w:fldCharType="end"/>
            </w:r>
          </w:hyperlink>
        </w:p>
        <w:p w14:paraId="631608FB" w14:textId="4B7264E6"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70" w:history="1">
            <w:r w:rsidRPr="004232A1">
              <w:rPr>
                <w:rStyle w:val="Hyperlink"/>
                <w:noProof/>
              </w:rPr>
              <w:t>Justification des décisions relatives à l’accessibilité</w:t>
            </w:r>
            <w:r>
              <w:rPr>
                <w:noProof/>
                <w:webHidden/>
              </w:rPr>
              <w:tab/>
            </w:r>
            <w:r>
              <w:rPr>
                <w:noProof/>
                <w:webHidden/>
              </w:rPr>
              <w:fldChar w:fldCharType="begin"/>
            </w:r>
            <w:r>
              <w:rPr>
                <w:noProof/>
                <w:webHidden/>
              </w:rPr>
              <w:instrText xml:space="preserve"> PAGEREF _Toc187907170 \h </w:instrText>
            </w:r>
            <w:r>
              <w:rPr>
                <w:noProof/>
                <w:webHidden/>
              </w:rPr>
            </w:r>
            <w:r>
              <w:rPr>
                <w:noProof/>
                <w:webHidden/>
              </w:rPr>
              <w:fldChar w:fldCharType="separate"/>
            </w:r>
            <w:r>
              <w:rPr>
                <w:noProof/>
                <w:webHidden/>
              </w:rPr>
              <w:t>12</w:t>
            </w:r>
            <w:r>
              <w:rPr>
                <w:noProof/>
                <w:webHidden/>
              </w:rPr>
              <w:fldChar w:fldCharType="end"/>
            </w:r>
          </w:hyperlink>
        </w:p>
        <w:p w14:paraId="5F6370EE" w14:textId="375C4393" w:rsidR="004427E4" w:rsidRDefault="004427E4">
          <w:pPr>
            <w:pStyle w:val="TOC1"/>
            <w:rPr>
              <w:rFonts w:eastAsiaTheme="minorEastAsia"/>
              <w:noProof/>
              <w:kern w:val="2"/>
              <w:sz w:val="22"/>
              <w:lang w:val="en-CA" w:eastAsia="en-CA"/>
              <w14:ligatures w14:val="standardContextual"/>
            </w:rPr>
          </w:pPr>
          <w:hyperlink w:anchor="_Toc187907171" w:history="1">
            <w:r w:rsidRPr="004232A1">
              <w:rPr>
                <w:rStyle w:val="Hyperlink"/>
                <w:noProof/>
              </w:rPr>
              <w:t>Informer la communauté de fournisseurs</w:t>
            </w:r>
            <w:r>
              <w:rPr>
                <w:noProof/>
                <w:webHidden/>
              </w:rPr>
              <w:tab/>
            </w:r>
            <w:r>
              <w:rPr>
                <w:noProof/>
                <w:webHidden/>
              </w:rPr>
              <w:fldChar w:fldCharType="begin"/>
            </w:r>
            <w:r>
              <w:rPr>
                <w:noProof/>
                <w:webHidden/>
              </w:rPr>
              <w:instrText xml:space="preserve"> PAGEREF _Toc187907171 \h </w:instrText>
            </w:r>
            <w:r>
              <w:rPr>
                <w:noProof/>
                <w:webHidden/>
              </w:rPr>
            </w:r>
            <w:r>
              <w:rPr>
                <w:noProof/>
                <w:webHidden/>
              </w:rPr>
              <w:fldChar w:fldCharType="separate"/>
            </w:r>
            <w:r>
              <w:rPr>
                <w:noProof/>
                <w:webHidden/>
              </w:rPr>
              <w:t>13</w:t>
            </w:r>
            <w:r>
              <w:rPr>
                <w:noProof/>
                <w:webHidden/>
              </w:rPr>
              <w:fldChar w:fldCharType="end"/>
            </w:r>
          </w:hyperlink>
        </w:p>
        <w:p w14:paraId="04F03BF2" w14:textId="138B0CFC" w:rsidR="004427E4" w:rsidRDefault="004427E4">
          <w:pPr>
            <w:pStyle w:val="TOC1"/>
            <w:rPr>
              <w:rFonts w:eastAsiaTheme="minorEastAsia"/>
              <w:noProof/>
              <w:kern w:val="2"/>
              <w:sz w:val="22"/>
              <w:lang w:val="en-CA" w:eastAsia="en-CA"/>
              <w14:ligatures w14:val="standardContextual"/>
            </w:rPr>
          </w:pPr>
          <w:hyperlink w:anchor="_Toc187907172" w:history="1">
            <w:r w:rsidRPr="004232A1">
              <w:rPr>
                <w:rStyle w:val="Hyperlink"/>
                <w:noProof/>
              </w:rPr>
              <w:t>Où trouver de l’aide et des ressources</w:t>
            </w:r>
            <w:r>
              <w:rPr>
                <w:noProof/>
                <w:webHidden/>
              </w:rPr>
              <w:tab/>
            </w:r>
            <w:r>
              <w:rPr>
                <w:noProof/>
                <w:webHidden/>
              </w:rPr>
              <w:fldChar w:fldCharType="begin"/>
            </w:r>
            <w:r>
              <w:rPr>
                <w:noProof/>
                <w:webHidden/>
              </w:rPr>
              <w:instrText xml:space="preserve"> PAGEREF _Toc187907172 \h </w:instrText>
            </w:r>
            <w:r>
              <w:rPr>
                <w:noProof/>
                <w:webHidden/>
              </w:rPr>
            </w:r>
            <w:r>
              <w:rPr>
                <w:noProof/>
                <w:webHidden/>
              </w:rPr>
              <w:fldChar w:fldCharType="separate"/>
            </w:r>
            <w:r>
              <w:rPr>
                <w:noProof/>
                <w:webHidden/>
              </w:rPr>
              <w:t>13</w:t>
            </w:r>
            <w:r>
              <w:rPr>
                <w:noProof/>
                <w:webHidden/>
              </w:rPr>
              <w:fldChar w:fldCharType="end"/>
            </w:r>
          </w:hyperlink>
        </w:p>
        <w:p w14:paraId="0F387275" w14:textId="23969CA5"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73" w:history="1">
            <w:r w:rsidRPr="004232A1">
              <w:rPr>
                <w:rStyle w:val="Hyperlink"/>
                <w:noProof/>
              </w:rPr>
              <w:t>Outils et ressources pour le GC :</w:t>
            </w:r>
            <w:r>
              <w:rPr>
                <w:noProof/>
                <w:webHidden/>
              </w:rPr>
              <w:tab/>
            </w:r>
            <w:r>
              <w:rPr>
                <w:noProof/>
                <w:webHidden/>
              </w:rPr>
              <w:fldChar w:fldCharType="begin"/>
            </w:r>
            <w:r>
              <w:rPr>
                <w:noProof/>
                <w:webHidden/>
              </w:rPr>
              <w:instrText xml:space="preserve"> PAGEREF _Toc187907173 \h </w:instrText>
            </w:r>
            <w:r>
              <w:rPr>
                <w:noProof/>
                <w:webHidden/>
              </w:rPr>
            </w:r>
            <w:r>
              <w:rPr>
                <w:noProof/>
                <w:webHidden/>
              </w:rPr>
              <w:fldChar w:fldCharType="separate"/>
            </w:r>
            <w:r>
              <w:rPr>
                <w:noProof/>
                <w:webHidden/>
              </w:rPr>
              <w:t>13</w:t>
            </w:r>
            <w:r>
              <w:rPr>
                <w:noProof/>
                <w:webHidden/>
              </w:rPr>
              <w:fldChar w:fldCharType="end"/>
            </w:r>
          </w:hyperlink>
        </w:p>
        <w:p w14:paraId="038BA72F" w14:textId="0E6B1810"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74" w:history="1">
            <w:r w:rsidRPr="004232A1">
              <w:rPr>
                <w:rStyle w:val="Hyperlink"/>
                <w:noProof/>
              </w:rPr>
              <w:t>Outils et ressources pour le GC et à l’externe :</w:t>
            </w:r>
            <w:r>
              <w:rPr>
                <w:noProof/>
                <w:webHidden/>
              </w:rPr>
              <w:tab/>
            </w:r>
            <w:r>
              <w:rPr>
                <w:noProof/>
                <w:webHidden/>
              </w:rPr>
              <w:fldChar w:fldCharType="begin"/>
            </w:r>
            <w:r>
              <w:rPr>
                <w:noProof/>
                <w:webHidden/>
              </w:rPr>
              <w:instrText xml:space="preserve"> PAGEREF _Toc187907174 \h </w:instrText>
            </w:r>
            <w:r>
              <w:rPr>
                <w:noProof/>
                <w:webHidden/>
              </w:rPr>
            </w:r>
            <w:r>
              <w:rPr>
                <w:noProof/>
                <w:webHidden/>
              </w:rPr>
              <w:fldChar w:fldCharType="separate"/>
            </w:r>
            <w:r>
              <w:rPr>
                <w:noProof/>
                <w:webHidden/>
              </w:rPr>
              <w:t>13</w:t>
            </w:r>
            <w:r>
              <w:rPr>
                <w:noProof/>
                <w:webHidden/>
              </w:rPr>
              <w:fldChar w:fldCharType="end"/>
            </w:r>
          </w:hyperlink>
        </w:p>
        <w:p w14:paraId="1F995DCA" w14:textId="5D5338B4"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75" w:history="1">
            <w:r w:rsidRPr="004232A1">
              <w:rPr>
                <w:rStyle w:val="Hyperlink"/>
                <w:noProof/>
              </w:rPr>
              <w:t>Services partagés Canada</w:t>
            </w:r>
            <w:r>
              <w:rPr>
                <w:noProof/>
                <w:webHidden/>
              </w:rPr>
              <w:tab/>
            </w:r>
            <w:r>
              <w:rPr>
                <w:noProof/>
                <w:webHidden/>
              </w:rPr>
              <w:fldChar w:fldCharType="begin"/>
            </w:r>
            <w:r>
              <w:rPr>
                <w:noProof/>
                <w:webHidden/>
              </w:rPr>
              <w:instrText xml:space="preserve"> PAGEREF _Toc187907175 \h </w:instrText>
            </w:r>
            <w:r>
              <w:rPr>
                <w:noProof/>
                <w:webHidden/>
              </w:rPr>
            </w:r>
            <w:r>
              <w:rPr>
                <w:noProof/>
                <w:webHidden/>
              </w:rPr>
              <w:fldChar w:fldCharType="separate"/>
            </w:r>
            <w:r>
              <w:rPr>
                <w:noProof/>
                <w:webHidden/>
              </w:rPr>
              <w:t>14</w:t>
            </w:r>
            <w:r>
              <w:rPr>
                <w:noProof/>
                <w:webHidden/>
              </w:rPr>
              <w:fldChar w:fldCharType="end"/>
            </w:r>
          </w:hyperlink>
        </w:p>
        <w:p w14:paraId="59AFCC33" w14:textId="1A0C11D4"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76" w:history="1">
            <w:r w:rsidRPr="004232A1">
              <w:rPr>
                <w:rStyle w:val="Hyperlink"/>
                <w:noProof/>
              </w:rPr>
              <w:t>Services publics et Approvisionnement Canada (SPAC)</w:t>
            </w:r>
            <w:r>
              <w:rPr>
                <w:noProof/>
                <w:webHidden/>
              </w:rPr>
              <w:tab/>
            </w:r>
            <w:r>
              <w:rPr>
                <w:noProof/>
                <w:webHidden/>
              </w:rPr>
              <w:fldChar w:fldCharType="begin"/>
            </w:r>
            <w:r>
              <w:rPr>
                <w:noProof/>
                <w:webHidden/>
              </w:rPr>
              <w:instrText xml:space="preserve"> PAGEREF _Toc187907176 \h </w:instrText>
            </w:r>
            <w:r>
              <w:rPr>
                <w:noProof/>
                <w:webHidden/>
              </w:rPr>
            </w:r>
            <w:r>
              <w:rPr>
                <w:noProof/>
                <w:webHidden/>
              </w:rPr>
              <w:fldChar w:fldCharType="separate"/>
            </w:r>
            <w:r>
              <w:rPr>
                <w:noProof/>
                <w:webHidden/>
              </w:rPr>
              <w:t>14</w:t>
            </w:r>
            <w:r>
              <w:rPr>
                <w:noProof/>
                <w:webHidden/>
              </w:rPr>
              <w:fldChar w:fldCharType="end"/>
            </w:r>
          </w:hyperlink>
        </w:p>
        <w:p w14:paraId="483994BF" w14:textId="099F7CE6" w:rsidR="004427E4" w:rsidRDefault="004427E4">
          <w:pPr>
            <w:pStyle w:val="TOC1"/>
            <w:rPr>
              <w:rFonts w:eastAsiaTheme="minorEastAsia"/>
              <w:noProof/>
              <w:kern w:val="2"/>
              <w:sz w:val="22"/>
              <w:lang w:val="en-CA" w:eastAsia="en-CA"/>
              <w14:ligatures w14:val="standardContextual"/>
            </w:rPr>
          </w:pPr>
          <w:hyperlink w:anchor="_Toc187907177" w:history="1">
            <w:r w:rsidRPr="004232A1">
              <w:rPr>
                <w:rStyle w:val="Hyperlink"/>
                <w:noProof/>
              </w:rPr>
              <w:t>Demandes de renseignements et commentaires au sujet du présent Guide</w:t>
            </w:r>
            <w:r>
              <w:rPr>
                <w:noProof/>
                <w:webHidden/>
              </w:rPr>
              <w:tab/>
            </w:r>
            <w:r>
              <w:rPr>
                <w:noProof/>
                <w:webHidden/>
              </w:rPr>
              <w:fldChar w:fldCharType="begin"/>
            </w:r>
            <w:r>
              <w:rPr>
                <w:noProof/>
                <w:webHidden/>
              </w:rPr>
              <w:instrText xml:space="preserve"> PAGEREF _Toc187907177 \h </w:instrText>
            </w:r>
            <w:r>
              <w:rPr>
                <w:noProof/>
                <w:webHidden/>
              </w:rPr>
            </w:r>
            <w:r>
              <w:rPr>
                <w:noProof/>
                <w:webHidden/>
              </w:rPr>
              <w:fldChar w:fldCharType="separate"/>
            </w:r>
            <w:r>
              <w:rPr>
                <w:noProof/>
                <w:webHidden/>
              </w:rPr>
              <w:t>14</w:t>
            </w:r>
            <w:r>
              <w:rPr>
                <w:noProof/>
                <w:webHidden/>
              </w:rPr>
              <w:fldChar w:fldCharType="end"/>
            </w:r>
          </w:hyperlink>
        </w:p>
        <w:p w14:paraId="640C4385" w14:textId="79731780" w:rsidR="004427E4" w:rsidRDefault="004427E4">
          <w:pPr>
            <w:pStyle w:val="TOC1"/>
            <w:rPr>
              <w:rFonts w:eastAsiaTheme="minorEastAsia"/>
              <w:noProof/>
              <w:kern w:val="2"/>
              <w:sz w:val="22"/>
              <w:lang w:val="en-CA" w:eastAsia="en-CA"/>
              <w14:ligatures w14:val="standardContextual"/>
            </w:rPr>
          </w:pPr>
          <w:hyperlink w:anchor="_Toc187907178" w:history="1">
            <w:r w:rsidRPr="004232A1">
              <w:rPr>
                <w:rStyle w:val="Hyperlink"/>
                <w:noProof/>
              </w:rPr>
              <w:t>Références</w:t>
            </w:r>
            <w:r>
              <w:rPr>
                <w:noProof/>
                <w:webHidden/>
              </w:rPr>
              <w:tab/>
            </w:r>
            <w:r>
              <w:rPr>
                <w:noProof/>
                <w:webHidden/>
              </w:rPr>
              <w:fldChar w:fldCharType="begin"/>
            </w:r>
            <w:r>
              <w:rPr>
                <w:noProof/>
                <w:webHidden/>
              </w:rPr>
              <w:instrText xml:space="preserve"> PAGEREF _Toc187907178 \h </w:instrText>
            </w:r>
            <w:r>
              <w:rPr>
                <w:noProof/>
                <w:webHidden/>
              </w:rPr>
            </w:r>
            <w:r>
              <w:rPr>
                <w:noProof/>
                <w:webHidden/>
              </w:rPr>
              <w:fldChar w:fldCharType="separate"/>
            </w:r>
            <w:r>
              <w:rPr>
                <w:noProof/>
                <w:webHidden/>
              </w:rPr>
              <w:t>14</w:t>
            </w:r>
            <w:r>
              <w:rPr>
                <w:noProof/>
                <w:webHidden/>
              </w:rPr>
              <w:fldChar w:fldCharType="end"/>
            </w:r>
          </w:hyperlink>
        </w:p>
        <w:p w14:paraId="458720E1" w14:textId="49F08C9D" w:rsidR="004427E4" w:rsidRDefault="004427E4">
          <w:pPr>
            <w:pStyle w:val="TOC2"/>
            <w:tabs>
              <w:tab w:val="right" w:leader="dot" w:pos="9350"/>
            </w:tabs>
            <w:rPr>
              <w:rFonts w:eastAsiaTheme="minorEastAsia"/>
              <w:noProof/>
              <w:kern w:val="2"/>
              <w:sz w:val="22"/>
              <w:lang w:val="en-CA" w:eastAsia="en-CA"/>
              <w14:ligatures w14:val="standardContextual"/>
            </w:rPr>
          </w:pPr>
          <w:hyperlink w:anchor="_Toc187907179" w:history="1">
            <w:r w:rsidRPr="004232A1">
              <w:rPr>
                <w:rStyle w:val="Hyperlink"/>
                <w:noProof/>
              </w:rPr>
              <w:t>Normes et spécifications externes connexes</w:t>
            </w:r>
            <w:r>
              <w:rPr>
                <w:noProof/>
                <w:webHidden/>
              </w:rPr>
              <w:tab/>
            </w:r>
            <w:r>
              <w:rPr>
                <w:noProof/>
                <w:webHidden/>
              </w:rPr>
              <w:fldChar w:fldCharType="begin"/>
            </w:r>
            <w:r>
              <w:rPr>
                <w:noProof/>
                <w:webHidden/>
              </w:rPr>
              <w:instrText xml:space="preserve"> PAGEREF _Toc187907179 \h </w:instrText>
            </w:r>
            <w:r>
              <w:rPr>
                <w:noProof/>
                <w:webHidden/>
              </w:rPr>
            </w:r>
            <w:r>
              <w:rPr>
                <w:noProof/>
                <w:webHidden/>
              </w:rPr>
              <w:fldChar w:fldCharType="separate"/>
            </w:r>
            <w:r>
              <w:rPr>
                <w:noProof/>
                <w:webHidden/>
              </w:rPr>
              <w:t>14</w:t>
            </w:r>
            <w:r>
              <w:rPr>
                <w:noProof/>
                <w:webHidden/>
              </w:rPr>
              <w:fldChar w:fldCharType="end"/>
            </w:r>
          </w:hyperlink>
        </w:p>
        <w:p w14:paraId="6C05303A" w14:textId="472D181A" w:rsidR="004427E4" w:rsidRDefault="004427E4">
          <w:pPr>
            <w:pStyle w:val="TOC3"/>
            <w:tabs>
              <w:tab w:val="right" w:leader="dot" w:pos="9350"/>
            </w:tabs>
            <w:rPr>
              <w:rFonts w:eastAsiaTheme="minorEastAsia"/>
              <w:noProof/>
              <w:kern w:val="2"/>
              <w:sz w:val="22"/>
              <w:lang w:val="en-CA" w:eastAsia="en-CA"/>
              <w14:ligatures w14:val="standardContextual"/>
            </w:rPr>
          </w:pPr>
          <w:hyperlink w:anchor="_Toc187907180" w:history="1">
            <w:r w:rsidRPr="004232A1">
              <w:rPr>
                <w:rStyle w:val="Hyperlink"/>
                <w:noProof/>
              </w:rPr>
              <w:t>Hyperliens externes de SPC</w:t>
            </w:r>
            <w:r>
              <w:rPr>
                <w:noProof/>
                <w:webHidden/>
              </w:rPr>
              <w:tab/>
            </w:r>
            <w:r>
              <w:rPr>
                <w:noProof/>
                <w:webHidden/>
              </w:rPr>
              <w:fldChar w:fldCharType="begin"/>
            </w:r>
            <w:r>
              <w:rPr>
                <w:noProof/>
                <w:webHidden/>
              </w:rPr>
              <w:instrText xml:space="preserve"> PAGEREF _Toc187907180 \h </w:instrText>
            </w:r>
            <w:r>
              <w:rPr>
                <w:noProof/>
                <w:webHidden/>
              </w:rPr>
            </w:r>
            <w:r>
              <w:rPr>
                <w:noProof/>
                <w:webHidden/>
              </w:rPr>
              <w:fldChar w:fldCharType="separate"/>
            </w:r>
            <w:r>
              <w:rPr>
                <w:noProof/>
                <w:webHidden/>
              </w:rPr>
              <w:t>14</w:t>
            </w:r>
            <w:r>
              <w:rPr>
                <w:noProof/>
                <w:webHidden/>
              </w:rPr>
              <w:fldChar w:fldCharType="end"/>
            </w:r>
          </w:hyperlink>
        </w:p>
        <w:p w14:paraId="1E180EC5" w14:textId="5A9AB3C2" w:rsidR="004427E4" w:rsidRDefault="004427E4">
          <w:pPr>
            <w:pStyle w:val="TOC3"/>
            <w:tabs>
              <w:tab w:val="right" w:leader="dot" w:pos="9350"/>
            </w:tabs>
            <w:rPr>
              <w:rFonts w:eastAsiaTheme="minorEastAsia"/>
              <w:noProof/>
              <w:kern w:val="2"/>
              <w:sz w:val="22"/>
              <w:lang w:val="en-CA" w:eastAsia="en-CA"/>
              <w14:ligatures w14:val="standardContextual"/>
            </w:rPr>
          </w:pPr>
          <w:hyperlink w:anchor="_Toc187907181" w:history="1">
            <w:r w:rsidRPr="004232A1">
              <w:rPr>
                <w:rStyle w:val="Hyperlink"/>
                <w:noProof/>
              </w:rPr>
              <w:t>Autres hyperliens sur l’accessibilité internationale</w:t>
            </w:r>
            <w:r>
              <w:rPr>
                <w:noProof/>
                <w:webHidden/>
              </w:rPr>
              <w:tab/>
            </w:r>
            <w:r>
              <w:rPr>
                <w:noProof/>
                <w:webHidden/>
              </w:rPr>
              <w:fldChar w:fldCharType="begin"/>
            </w:r>
            <w:r>
              <w:rPr>
                <w:noProof/>
                <w:webHidden/>
              </w:rPr>
              <w:instrText xml:space="preserve"> PAGEREF _Toc187907181 \h </w:instrText>
            </w:r>
            <w:r>
              <w:rPr>
                <w:noProof/>
                <w:webHidden/>
              </w:rPr>
            </w:r>
            <w:r>
              <w:rPr>
                <w:noProof/>
                <w:webHidden/>
              </w:rPr>
              <w:fldChar w:fldCharType="separate"/>
            </w:r>
            <w:r>
              <w:rPr>
                <w:noProof/>
                <w:webHidden/>
              </w:rPr>
              <w:t>15</w:t>
            </w:r>
            <w:r>
              <w:rPr>
                <w:noProof/>
                <w:webHidden/>
              </w:rPr>
              <w:fldChar w:fldCharType="end"/>
            </w:r>
          </w:hyperlink>
        </w:p>
        <w:p w14:paraId="1BFB4C0C" w14:textId="2C08F7AF" w:rsidR="004427E4" w:rsidRDefault="004427E4">
          <w:pPr>
            <w:pStyle w:val="TOC3"/>
            <w:tabs>
              <w:tab w:val="right" w:leader="dot" w:pos="9350"/>
            </w:tabs>
            <w:rPr>
              <w:rFonts w:eastAsiaTheme="minorEastAsia"/>
              <w:noProof/>
              <w:kern w:val="2"/>
              <w:sz w:val="22"/>
              <w:lang w:val="en-CA" w:eastAsia="en-CA"/>
              <w14:ligatures w14:val="standardContextual"/>
            </w:rPr>
          </w:pPr>
          <w:hyperlink w:anchor="_Toc187907182" w:history="1">
            <w:r w:rsidRPr="004232A1">
              <w:rPr>
                <w:rStyle w:val="Hyperlink"/>
                <w:noProof/>
              </w:rPr>
              <w:t>Gouvernement du Canada</w:t>
            </w:r>
            <w:r>
              <w:rPr>
                <w:noProof/>
                <w:webHidden/>
              </w:rPr>
              <w:tab/>
            </w:r>
            <w:r>
              <w:rPr>
                <w:noProof/>
                <w:webHidden/>
              </w:rPr>
              <w:fldChar w:fldCharType="begin"/>
            </w:r>
            <w:r>
              <w:rPr>
                <w:noProof/>
                <w:webHidden/>
              </w:rPr>
              <w:instrText xml:space="preserve"> PAGEREF _Toc187907182 \h </w:instrText>
            </w:r>
            <w:r>
              <w:rPr>
                <w:noProof/>
                <w:webHidden/>
              </w:rPr>
            </w:r>
            <w:r>
              <w:rPr>
                <w:noProof/>
                <w:webHidden/>
              </w:rPr>
              <w:fldChar w:fldCharType="separate"/>
            </w:r>
            <w:r>
              <w:rPr>
                <w:noProof/>
                <w:webHidden/>
              </w:rPr>
              <w:t>15</w:t>
            </w:r>
            <w:r>
              <w:rPr>
                <w:noProof/>
                <w:webHidden/>
              </w:rPr>
              <w:fldChar w:fldCharType="end"/>
            </w:r>
          </w:hyperlink>
        </w:p>
        <w:p w14:paraId="12A12FD8" w14:textId="04FFC56A" w:rsidR="004427E4" w:rsidRDefault="004427E4">
          <w:pPr>
            <w:pStyle w:val="TOC1"/>
            <w:rPr>
              <w:rFonts w:eastAsiaTheme="minorEastAsia"/>
              <w:noProof/>
              <w:kern w:val="2"/>
              <w:sz w:val="22"/>
              <w:lang w:val="en-CA" w:eastAsia="en-CA"/>
              <w14:ligatures w14:val="standardContextual"/>
            </w:rPr>
          </w:pPr>
          <w:hyperlink w:anchor="_Toc187907183" w:history="1">
            <w:r w:rsidRPr="004232A1">
              <w:rPr>
                <w:rStyle w:val="Hyperlink"/>
                <w:noProof/>
              </w:rPr>
              <w:t>Définitions</w:t>
            </w:r>
            <w:r>
              <w:rPr>
                <w:noProof/>
                <w:webHidden/>
              </w:rPr>
              <w:tab/>
            </w:r>
            <w:r>
              <w:rPr>
                <w:noProof/>
                <w:webHidden/>
              </w:rPr>
              <w:fldChar w:fldCharType="begin"/>
            </w:r>
            <w:r>
              <w:rPr>
                <w:noProof/>
                <w:webHidden/>
              </w:rPr>
              <w:instrText xml:space="preserve"> PAGEREF _Toc187907183 \h </w:instrText>
            </w:r>
            <w:r>
              <w:rPr>
                <w:noProof/>
                <w:webHidden/>
              </w:rPr>
            </w:r>
            <w:r>
              <w:rPr>
                <w:noProof/>
                <w:webHidden/>
              </w:rPr>
              <w:fldChar w:fldCharType="separate"/>
            </w:r>
            <w:r>
              <w:rPr>
                <w:noProof/>
                <w:webHidden/>
              </w:rPr>
              <w:t>16</w:t>
            </w:r>
            <w:r>
              <w:rPr>
                <w:noProof/>
                <w:webHidden/>
              </w:rPr>
              <w:fldChar w:fldCharType="end"/>
            </w:r>
          </w:hyperlink>
        </w:p>
        <w:p w14:paraId="4CB52FE2" w14:textId="357F09B0" w:rsidR="004427E4" w:rsidRDefault="004427E4">
          <w:pPr>
            <w:pStyle w:val="TOC1"/>
            <w:rPr>
              <w:rFonts w:eastAsiaTheme="minorEastAsia"/>
              <w:noProof/>
              <w:kern w:val="2"/>
              <w:sz w:val="22"/>
              <w:lang w:val="en-CA" w:eastAsia="en-CA"/>
              <w14:ligatures w14:val="standardContextual"/>
            </w:rPr>
          </w:pPr>
          <w:hyperlink w:anchor="_Toc187907184" w:history="1">
            <w:r w:rsidRPr="004232A1">
              <w:rPr>
                <w:rStyle w:val="Hyperlink"/>
                <w:noProof/>
              </w:rPr>
              <w:t>Quels renseignements un rapport de conformité de l’accessibilité (RCA) devrait-il contenir?</w:t>
            </w:r>
            <w:r>
              <w:rPr>
                <w:noProof/>
                <w:webHidden/>
              </w:rPr>
              <w:tab/>
            </w:r>
            <w:r>
              <w:rPr>
                <w:noProof/>
                <w:webHidden/>
              </w:rPr>
              <w:fldChar w:fldCharType="begin"/>
            </w:r>
            <w:r>
              <w:rPr>
                <w:noProof/>
                <w:webHidden/>
              </w:rPr>
              <w:instrText xml:space="preserve"> PAGEREF _Toc187907184 \h </w:instrText>
            </w:r>
            <w:r>
              <w:rPr>
                <w:noProof/>
                <w:webHidden/>
              </w:rPr>
            </w:r>
            <w:r>
              <w:rPr>
                <w:noProof/>
                <w:webHidden/>
              </w:rPr>
              <w:fldChar w:fldCharType="separate"/>
            </w:r>
            <w:r>
              <w:rPr>
                <w:noProof/>
                <w:webHidden/>
              </w:rPr>
              <w:t>19</w:t>
            </w:r>
            <w:r>
              <w:rPr>
                <w:noProof/>
                <w:webHidden/>
              </w:rPr>
              <w:fldChar w:fldCharType="end"/>
            </w:r>
          </w:hyperlink>
        </w:p>
        <w:p w14:paraId="2FFE0F34" w14:textId="5DFAD6B4" w:rsidR="00A70FF5" w:rsidRPr="00D24D08" w:rsidRDefault="00A70FF5">
          <w:r w:rsidRPr="00D24D08">
            <w:rPr>
              <w:b/>
              <w:bCs/>
              <w:noProof/>
            </w:rPr>
            <w:fldChar w:fldCharType="end"/>
          </w:r>
        </w:p>
      </w:sdtContent>
    </w:sdt>
    <w:p w14:paraId="131F49A7" w14:textId="01F72B02" w:rsidR="00E4101B" w:rsidRPr="00D24D08" w:rsidRDefault="00833040" w:rsidP="00783718">
      <w:pPr>
        <w:pStyle w:val="Heading1"/>
      </w:pPr>
      <w:bookmarkStart w:id="0" w:name="_Toc187907158"/>
      <w:r w:rsidRPr="00D24D08">
        <w:t>À propos du Guide</w:t>
      </w:r>
      <w:bookmarkEnd w:id="0"/>
    </w:p>
    <w:p w14:paraId="4C0BDE3B" w14:textId="6EE76C48" w:rsidR="001C6056" w:rsidRPr="003D752C" w:rsidRDefault="00833040" w:rsidP="003D752C">
      <w:r w:rsidRPr="003D752C">
        <w:t xml:space="preserve">Le présent Guide a été rédigé par les ministères, organismes et organisations du gouvernement du </w:t>
      </w:r>
      <w:r w:rsidR="0096339D" w:rsidRPr="003D752C">
        <w:t>Canada</w:t>
      </w:r>
      <w:r w:rsidR="00B0384D" w:rsidRPr="003D752C">
        <w:t xml:space="preserve"> (GC)</w:t>
      </w:r>
      <w:r w:rsidR="00CB3421" w:rsidRPr="003D752C">
        <w:t>.</w:t>
      </w:r>
      <w:r w:rsidR="0096339D" w:rsidRPr="003D752C">
        <w:t xml:space="preserve"> </w:t>
      </w:r>
      <w:r w:rsidRPr="003D752C">
        <w:t>Il explique la manière d</w:t>
      </w:r>
      <w:r w:rsidR="00FE6A95" w:rsidRPr="003D752C">
        <w:t>’</w:t>
      </w:r>
      <w:r w:rsidRPr="003D752C">
        <w:t xml:space="preserve">appliquer la </w:t>
      </w:r>
      <w:hyperlink r:id="rId11" w:history="1">
        <w:r w:rsidRPr="003D752C">
          <w:rPr>
            <w:rStyle w:val="Hyperlink"/>
          </w:rPr>
          <w:t>Ligne directrice sur l</w:t>
        </w:r>
        <w:r w:rsidR="00FE6A95" w:rsidRPr="003D752C">
          <w:rPr>
            <w:rStyle w:val="Hyperlink"/>
          </w:rPr>
          <w:t>’</w:t>
        </w:r>
        <w:r w:rsidRPr="003D752C">
          <w:rPr>
            <w:rStyle w:val="Hyperlink"/>
          </w:rPr>
          <w:t>utilisabilité de la technologie de l</w:t>
        </w:r>
        <w:r w:rsidR="00FE6A95" w:rsidRPr="003D752C">
          <w:rPr>
            <w:rStyle w:val="Hyperlink"/>
          </w:rPr>
          <w:t>’</w:t>
        </w:r>
        <w:r w:rsidRPr="003D752C">
          <w:rPr>
            <w:rStyle w:val="Hyperlink"/>
          </w:rPr>
          <w:t>information (TI) par tous</w:t>
        </w:r>
      </w:hyperlink>
      <w:r w:rsidR="00F93916" w:rsidRPr="003D752C">
        <w:t xml:space="preserve"> </w:t>
      </w:r>
      <w:r w:rsidRPr="003D752C">
        <w:t xml:space="preserve">dans les approvisionnements concurrentiels et non concurrentiels liés </w:t>
      </w:r>
      <w:r w:rsidR="00D02655" w:rsidRPr="003D752C">
        <w:t xml:space="preserve">aux </w:t>
      </w:r>
      <w:r w:rsidRPr="003D752C">
        <w:t>technologie</w:t>
      </w:r>
      <w:r w:rsidR="00D02655" w:rsidRPr="003D752C">
        <w:t>s</w:t>
      </w:r>
      <w:r w:rsidRPr="003D752C">
        <w:t xml:space="preserve"> de l</w:t>
      </w:r>
      <w:r w:rsidR="00FE6A95" w:rsidRPr="003D752C">
        <w:t>’</w:t>
      </w:r>
      <w:r w:rsidRPr="003D752C">
        <w:t>information et des c</w:t>
      </w:r>
      <w:r w:rsidR="0096339D" w:rsidRPr="003D752C">
        <w:t>ommunication</w:t>
      </w:r>
      <w:r w:rsidRPr="003D752C">
        <w:t>s</w:t>
      </w:r>
      <w:r w:rsidR="00B13AF3" w:rsidRPr="003D752C">
        <w:t xml:space="preserve"> (TIC)</w:t>
      </w:r>
      <w:r w:rsidR="0096339D" w:rsidRPr="003D752C">
        <w:t>.</w:t>
      </w:r>
    </w:p>
    <w:p w14:paraId="252E4935" w14:textId="199F6079" w:rsidR="00351D27" w:rsidRPr="003D752C" w:rsidRDefault="00671F21" w:rsidP="003D752C">
      <w:r w:rsidRPr="003D752C">
        <w:t xml:space="preserve">Dans le présent </w:t>
      </w:r>
      <w:r w:rsidR="00287309" w:rsidRPr="003D752C">
        <w:t>Guide</w:t>
      </w:r>
      <w:r w:rsidR="0096339D" w:rsidRPr="003D752C">
        <w:t xml:space="preserve">, </w:t>
      </w:r>
      <w:r w:rsidRPr="003D752C">
        <w:t xml:space="preserve">on entend par « approvisionnement lié </w:t>
      </w:r>
      <w:r w:rsidR="00140CB8" w:rsidRPr="003D752C">
        <w:t xml:space="preserve">aux </w:t>
      </w:r>
      <w:r w:rsidRPr="003D752C">
        <w:t>TIC » tout bien ou service qui comprend une composante TIC</w:t>
      </w:r>
      <w:r w:rsidR="001E0C8E" w:rsidRPr="003D752C">
        <w:t>.</w:t>
      </w:r>
      <w:r w:rsidR="00351D27" w:rsidRPr="003D752C">
        <w:t xml:space="preserve"> </w:t>
      </w:r>
      <w:r w:rsidR="000B4DBC" w:rsidRPr="003D752C">
        <w:t>En voici quelques exemples :</w:t>
      </w:r>
    </w:p>
    <w:p w14:paraId="255612B1" w14:textId="1004520C" w:rsidR="00ED3630" w:rsidRPr="003D752C" w:rsidRDefault="000B4DBC" w:rsidP="001508D0">
      <w:pPr>
        <w:pStyle w:val="ListParagraph"/>
        <w:numPr>
          <w:ilvl w:val="0"/>
          <w:numId w:val="1"/>
        </w:numPr>
      </w:pPr>
      <w:proofErr w:type="gramStart"/>
      <w:r w:rsidRPr="003D752C">
        <w:t>les</w:t>
      </w:r>
      <w:proofErr w:type="gramEnd"/>
      <w:r w:rsidRPr="003D752C">
        <w:t xml:space="preserve"> solutions et l</w:t>
      </w:r>
      <w:r w:rsidR="00FE6A95" w:rsidRPr="003D752C">
        <w:t>’</w:t>
      </w:r>
      <w:r w:rsidRPr="003D752C">
        <w:t>équipement de</w:t>
      </w:r>
      <w:r w:rsidR="00D02655" w:rsidRPr="003D752C">
        <w:t>s</w:t>
      </w:r>
      <w:r w:rsidRPr="003D752C">
        <w:t xml:space="preserve"> technologie</w:t>
      </w:r>
      <w:r w:rsidR="00D02655" w:rsidRPr="003D752C">
        <w:t>s</w:t>
      </w:r>
      <w:r w:rsidRPr="003D752C">
        <w:t xml:space="preserve"> de l</w:t>
      </w:r>
      <w:r w:rsidR="00FE6A95" w:rsidRPr="003D752C">
        <w:t>’</w:t>
      </w:r>
      <w:r w:rsidRPr="003D752C">
        <w:t>information (TI) qui sont accessibles à l</w:t>
      </w:r>
      <w:r w:rsidR="00FE6A95" w:rsidRPr="003D752C">
        <w:t>’</w:t>
      </w:r>
      <w:r w:rsidRPr="003D752C">
        <w:t>interne ou au public;</w:t>
      </w:r>
    </w:p>
    <w:p w14:paraId="2BBE7739" w14:textId="6D786A2E" w:rsidR="00BB1D31" w:rsidRPr="003D752C" w:rsidRDefault="000B4DBC" w:rsidP="001508D0">
      <w:pPr>
        <w:pStyle w:val="ListParagraph"/>
        <w:numPr>
          <w:ilvl w:val="0"/>
          <w:numId w:val="1"/>
        </w:numPr>
      </w:pPr>
      <w:proofErr w:type="gramStart"/>
      <w:r w:rsidRPr="003D752C">
        <w:t>les</w:t>
      </w:r>
      <w:proofErr w:type="gramEnd"/>
      <w:r w:rsidRPr="003D752C">
        <w:t xml:space="preserve"> </w:t>
      </w:r>
      <w:r w:rsidR="001169DF" w:rsidRPr="003D752C">
        <w:t>documents (</w:t>
      </w:r>
      <w:r w:rsidRPr="003D752C">
        <w:t>contenu électronique ou documents non destinés au Web</w:t>
      </w:r>
      <w:r w:rsidR="001169DF" w:rsidRPr="003D752C">
        <w:t>)</w:t>
      </w:r>
      <w:r w:rsidR="00DC0A8C" w:rsidRPr="003D752C">
        <w:t xml:space="preserve"> </w:t>
      </w:r>
      <w:r w:rsidRPr="003D752C">
        <w:t>tels que :</w:t>
      </w:r>
    </w:p>
    <w:p w14:paraId="226674D2" w14:textId="09DFF568" w:rsidR="00DC0A8C" w:rsidRPr="003D752C" w:rsidRDefault="000B4DBC" w:rsidP="001508D0">
      <w:pPr>
        <w:pStyle w:val="ListParagraph"/>
        <w:numPr>
          <w:ilvl w:val="1"/>
          <w:numId w:val="1"/>
        </w:numPr>
      </w:pPr>
      <w:bookmarkStart w:id="1" w:name="_Hlk183166644"/>
      <w:proofErr w:type="gramStart"/>
      <w:r w:rsidRPr="003D752C">
        <w:t>les</w:t>
      </w:r>
      <w:proofErr w:type="gramEnd"/>
      <w:r w:rsidRPr="003D752C">
        <w:t xml:space="preserve"> manuels d</w:t>
      </w:r>
      <w:r w:rsidR="00FE6A95" w:rsidRPr="003D752C">
        <w:t>’</w:t>
      </w:r>
      <w:r w:rsidRPr="003D752C">
        <w:t>instruction ou techniques pour un bien ou un service;</w:t>
      </w:r>
    </w:p>
    <w:p w14:paraId="3B14BDAA" w14:textId="0755773C" w:rsidR="00DC0A8C" w:rsidRPr="003D752C" w:rsidRDefault="000B4DBC" w:rsidP="001508D0">
      <w:pPr>
        <w:pStyle w:val="ListParagraph"/>
        <w:numPr>
          <w:ilvl w:val="1"/>
          <w:numId w:val="1"/>
        </w:numPr>
      </w:pPr>
      <w:proofErr w:type="gramStart"/>
      <w:r w:rsidRPr="003D752C">
        <w:t>le</w:t>
      </w:r>
      <w:proofErr w:type="gramEnd"/>
      <w:r w:rsidRPr="003D752C">
        <w:t xml:space="preserve"> matériel de formation</w:t>
      </w:r>
      <w:r w:rsidR="001169DF" w:rsidRPr="003D752C">
        <w:t>;</w:t>
      </w:r>
    </w:p>
    <w:p w14:paraId="7199801A" w14:textId="3391AA58" w:rsidR="00DC0A8C" w:rsidRPr="003D752C" w:rsidRDefault="000B4DBC" w:rsidP="001508D0">
      <w:pPr>
        <w:pStyle w:val="ListParagraph"/>
        <w:numPr>
          <w:ilvl w:val="1"/>
          <w:numId w:val="1"/>
        </w:numPr>
      </w:pPr>
      <w:proofErr w:type="gramStart"/>
      <w:r w:rsidRPr="003D752C">
        <w:t>les</w:t>
      </w:r>
      <w:proofErr w:type="gramEnd"/>
      <w:r w:rsidRPr="003D752C">
        <w:t xml:space="preserve"> pré</w:t>
      </w:r>
      <w:r w:rsidR="001169DF" w:rsidRPr="003D752C">
        <w:t>sentations;</w:t>
      </w:r>
    </w:p>
    <w:p w14:paraId="5C692FFC" w14:textId="19BC28FD" w:rsidR="00DC0A8C" w:rsidRPr="003D752C" w:rsidRDefault="000B4DBC" w:rsidP="001508D0">
      <w:pPr>
        <w:pStyle w:val="ListParagraph"/>
        <w:numPr>
          <w:ilvl w:val="1"/>
          <w:numId w:val="1"/>
        </w:numPr>
      </w:pPr>
      <w:proofErr w:type="gramStart"/>
      <w:r w:rsidRPr="003D752C">
        <w:t>les</w:t>
      </w:r>
      <w:proofErr w:type="gramEnd"/>
      <w:r w:rsidRPr="003D752C">
        <w:t xml:space="preserve"> rap</w:t>
      </w:r>
      <w:r w:rsidR="001169DF" w:rsidRPr="003D752C">
        <w:t>ports;</w:t>
      </w:r>
    </w:p>
    <w:p w14:paraId="6C2051CF" w14:textId="29090FAC" w:rsidR="001169DF" w:rsidRPr="003D752C" w:rsidRDefault="000B4DBC" w:rsidP="001508D0">
      <w:pPr>
        <w:pStyle w:val="ListParagraph"/>
        <w:numPr>
          <w:ilvl w:val="1"/>
          <w:numId w:val="1"/>
        </w:numPr>
      </w:pPr>
      <w:proofErr w:type="gramStart"/>
      <w:r w:rsidRPr="003D752C">
        <w:t>les</w:t>
      </w:r>
      <w:proofErr w:type="gramEnd"/>
      <w:r w:rsidRPr="003D752C">
        <w:t xml:space="preserve"> courriels</w:t>
      </w:r>
      <w:r w:rsidR="00DC0A8C" w:rsidRPr="003D752C">
        <w:t>;</w:t>
      </w:r>
    </w:p>
    <w:bookmarkEnd w:id="1"/>
    <w:p w14:paraId="5347301A" w14:textId="45310C22" w:rsidR="00BB7E7B" w:rsidRPr="003D752C" w:rsidRDefault="000B4DBC" w:rsidP="001508D0">
      <w:pPr>
        <w:pStyle w:val="ListParagraph"/>
        <w:numPr>
          <w:ilvl w:val="0"/>
          <w:numId w:val="1"/>
        </w:numPr>
      </w:pPr>
      <w:proofErr w:type="gramStart"/>
      <w:r w:rsidRPr="003D752C">
        <w:t>les</w:t>
      </w:r>
      <w:proofErr w:type="gramEnd"/>
      <w:r w:rsidRPr="003D752C">
        <w:t xml:space="preserve"> services de soutien</w:t>
      </w:r>
      <w:r w:rsidR="00DC0A8C" w:rsidRPr="003D752C">
        <w:t>;</w:t>
      </w:r>
    </w:p>
    <w:p w14:paraId="3FA11728" w14:textId="76308FA8" w:rsidR="00BB7E7B" w:rsidRPr="003D752C" w:rsidRDefault="009C26F9" w:rsidP="001508D0">
      <w:pPr>
        <w:pStyle w:val="ListParagraph"/>
        <w:numPr>
          <w:ilvl w:val="0"/>
          <w:numId w:val="1"/>
        </w:numPr>
      </w:pPr>
      <w:proofErr w:type="gramStart"/>
      <w:r w:rsidRPr="003D752C">
        <w:t>le</w:t>
      </w:r>
      <w:proofErr w:type="gramEnd"/>
      <w:r w:rsidRPr="003D752C">
        <w:t xml:space="preserve"> service d</w:t>
      </w:r>
      <w:r w:rsidR="00FE6A95" w:rsidRPr="003D752C">
        <w:t>’</w:t>
      </w:r>
      <w:r w:rsidRPr="003D752C">
        <w:t>assistance</w:t>
      </w:r>
      <w:r w:rsidR="00DC0A8C" w:rsidRPr="003D752C">
        <w:t>.</w:t>
      </w:r>
    </w:p>
    <w:p w14:paraId="0EDF53DC" w14:textId="55603D41" w:rsidR="006B5C98" w:rsidRPr="00930E97" w:rsidRDefault="00E52EC6" w:rsidP="00930E97">
      <w:r w:rsidRPr="00930E97">
        <w:lastRenderedPageBreak/>
        <w:t>Le présent Guide vous explique en détail les étapes de la prise en compte de l</w:t>
      </w:r>
      <w:r w:rsidR="00FE6A95" w:rsidRPr="00930E97">
        <w:t>’</w:t>
      </w:r>
      <w:r w:rsidRPr="00930E97">
        <w:t>accessibilité lors de l</w:t>
      </w:r>
      <w:r w:rsidR="00FE6A95" w:rsidRPr="00930E97">
        <w:t>’</w:t>
      </w:r>
      <w:r w:rsidRPr="00930E97">
        <w:t xml:space="preserve">élaboration des exigences pour vos approvisionnements liés </w:t>
      </w:r>
      <w:r w:rsidR="00140CB8" w:rsidRPr="00930E97">
        <w:t xml:space="preserve">aux </w:t>
      </w:r>
      <w:r w:rsidRPr="00930E97">
        <w:t>TIC. Il contient également des renseignements utiles sur les lignes directrices et les normes pertinentes en matière de TIC.</w:t>
      </w:r>
    </w:p>
    <w:p w14:paraId="0A85B2B4" w14:textId="2043226C" w:rsidR="003C475D" w:rsidRPr="00D24D08" w:rsidRDefault="003C475D" w:rsidP="00C863AE">
      <w:pPr>
        <w:pStyle w:val="Heading1"/>
      </w:pPr>
      <w:bookmarkStart w:id="2" w:name="_Toc187907159"/>
      <w:r w:rsidRPr="00D24D08">
        <w:t>Audi</w:t>
      </w:r>
      <w:r w:rsidR="00E52EC6" w:rsidRPr="00D24D08">
        <w:t>toire</w:t>
      </w:r>
      <w:bookmarkEnd w:id="2"/>
    </w:p>
    <w:p w14:paraId="4ECE1762" w14:textId="68A5EDA9" w:rsidR="0099195A" w:rsidRPr="00313146" w:rsidRDefault="00E52EC6" w:rsidP="003D752C">
      <w:r w:rsidRPr="003D752C">
        <w:t>Le présent Guide s</w:t>
      </w:r>
      <w:r w:rsidR="00FE6A95" w:rsidRPr="003D752C">
        <w:t>’</w:t>
      </w:r>
      <w:r w:rsidRPr="003D752C">
        <w:t xml:space="preserve">adresse aux ministères, organismes et organisations du GC, énumérés aux annexes </w:t>
      </w:r>
      <w:r w:rsidR="0099195A" w:rsidRPr="00313146">
        <w:t xml:space="preserve">I, I.1 </w:t>
      </w:r>
      <w:r w:rsidRPr="00313146">
        <w:t>et</w:t>
      </w:r>
      <w:r w:rsidR="0099195A" w:rsidRPr="00313146">
        <w:t xml:space="preserve"> II </w:t>
      </w:r>
      <w:r w:rsidRPr="00313146">
        <w:t xml:space="preserve">de la </w:t>
      </w:r>
      <w:hyperlink r:id="rId12" w:history="1">
        <w:r w:rsidRPr="00313146">
          <w:rPr>
            <w:rStyle w:val="Hyperlink"/>
          </w:rPr>
          <w:t>Loi sur la gestion des finances publiques</w:t>
        </w:r>
      </w:hyperlink>
      <w:r w:rsidR="0099195A" w:rsidRPr="003D752C">
        <w:t>.</w:t>
      </w:r>
    </w:p>
    <w:p w14:paraId="13F7ADB4" w14:textId="441293A3" w:rsidR="00454D6D" w:rsidRPr="003D752C" w:rsidRDefault="00E52EC6" w:rsidP="003D752C">
      <w:r w:rsidRPr="003D752C">
        <w:t>Il aidera :</w:t>
      </w:r>
    </w:p>
    <w:p w14:paraId="1C8EA3A6" w14:textId="5FB9C3C1" w:rsidR="00991AD6" w:rsidRPr="003D752C" w:rsidRDefault="00140CB8" w:rsidP="001508D0">
      <w:pPr>
        <w:pStyle w:val="ListParagraph"/>
        <w:numPr>
          <w:ilvl w:val="0"/>
          <w:numId w:val="2"/>
        </w:numPr>
      </w:pPr>
      <w:proofErr w:type="gramStart"/>
      <w:r w:rsidRPr="003D752C">
        <w:t>les</w:t>
      </w:r>
      <w:proofErr w:type="gramEnd"/>
      <w:r w:rsidRPr="003D752C">
        <w:t xml:space="preserve"> propriétaires fonctionnels</w:t>
      </w:r>
      <w:r w:rsidR="00FC1516" w:rsidRPr="003D752C">
        <w:t xml:space="preserve"> (</w:t>
      </w:r>
      <w:r w:rsidRPr="003D752C">
        <w:t>le responsable technique ou le client</w:t>
      </w:r>
      <w:r w:rsidR="00FC1516" w:rsidRPr="003D752C">
        <w:t>)</w:t>
      </w:r>
      <w:r w:rsidR="00E4101B" w:rsidRPr="003D752C">
        <w:t xml:space="preserve"> </w:t>
      </w:r>
      <w:r w:rsidRPr="003D752C">
        <w:t xml:space="preserve">et les autorités contractantes au sein des ministères, organismes et organisations du </w:t>
      </w:r>
      <w:r w:rsidR="00990D9B" w:rsidRPr="003D752C">
        <w:t>GC</w:t>
      </w:r>
      <w:r w:rsidRPr="003D752C">
        <w:t>;</w:t>
      </w:r>
    </w:p>
    <w:p w14:paraId="5B734D34" w14:textId="219A09AF" w:rsidR="00243AE2" w:rsidRPr="003D752C" w:rsidRDefault="00140CB8" w:rsidP="001508D0">
      <w:pPr>
        <w:pStyle w:val="ListParagraph"/>
        <w:numPr>
          <w:ilvl w:val="0"/>
          <w:numId w:val="2"/>
        </w:numPr>
      </w:pPr>
      <w:proofErr w:type="gramStart"/>
      <w:r w:rsidRPr="003D752C">
        <w:t>les</w:t>
      </w:r>
      <w:proofErr w:type="gramEnd"/>
      <w:r w:rsidRPr="003D752C">
        <w:t xml:space="preserve"> fournisseurs qui veulent en savoir plus sur les exigences d</w:t>
      </w:r>
      <w:r w:rsidR="00FE6A95" w:rsidRPr="003D752C">
        <w:t>’</w:t>
      </w:r>
      <w:r w:rsidRPr="003D752C">
        <w:t>accessibilité des TIC au sein des approvisionnements du GC</w:t>
      </w:r>
      <w:r w:rsidR="00D54398" w:rsidRPr="003D752C">
        <w:t>.</w:t>
      </w:r>
    </w:p>
    <w:p w14:paraId="066F75EA" w14:textId="72955B1A" w:rsidR="00487339" w:rsidRPr="00D24D08" w:rsidRDefault="00C76BEA" w:rsidP="00AE2F49">
      <w:pPr>
        <w:pStyle w:val="Heading1"/>
        <w:rPr>
          <w:lang w:eastAsia="en-CA"/>
        </w:rPr>
      </w:pPr>
      <w:bookmarkStart w:id="3" w:name="_Toc187907160"/>
      <w:r w:rsidRPr="00D24D08">
        <w:t>Context</w:t>
      </w:r>
      <w:r w:rsidR="00D02655" w:rsidRPr="00D24D08">
        <w:t>e</w:t>
      </w:r>
      <w:bookmarkEnd w:id="3"/>
    </w:p>
    <w:p w14:paraId="3610853A" w14:textId="125E2475" w:rsidR="00487339" w:rsidRPr="00313146" w:rsidRDefault="00D03DE4" w:rsidP="003D752C">
      <w:pPr>
        <w:rPr>
          <w:rFonts w:ascii="Arial" w:hAnsi="Arial"/>
        </w:rPr>
      </w:pPr>
      <w:r w:rsidRPr="00313146">
        <w:t>La</w:t>
      </w:r>
      <w:r w:rsidR="00487339" w:rsidRPr="00313146">
        <w:t xml:space="preserve"> </w:t>
      </w:r>
      <w:hyperlink r:id="rId13" w:history="1">
        <w:r w:rsidRPr="00313146">
          <w:rPr>
            <w:rStyle w:val="Hyperlink"/>
            <w:i/>
            <w:iCs/>
          </w:rPr>
          <w:t>Loi canadienne sur l</w:t>
        </w:r>
        <w:r w:rsidR="00FE6A95" w:rsidRPr="00313146">
          <w:rPr>
            <w:rStyle w:val="Hyperlink"/>
            <w:i/>
            <w:iCs/>
          </w:rPr>
          <w:t>’</w:t>
        </w:r>
        <w:r w:rsidRPr="00313146">
          <w:rPr>
            <w:rStyle w:val="Hyperlink"/>
            <w:i/>
            <w:iCs/>
          </w:rPr>
          <w:t>accessibilité</w:t>
        </w:r>
      </w:hyperlink>
      <w:r w:rsidR="00487339" w:rsidRPr="00313146">
        <w:t xml:space="preserve"> (</w:t>
      </w:r>
      <w:r w:rsidRPr="00313146">
        <w:t>L</w:t>
      </w:r>
      <w:r w:rsidR="00487339" w:rsidRPr="00313146">
        <w:t xml:space="preserve">CA) </w:t>
      </w:r>
      <w:r w:rsidRPr="00313146">
        <w:t>a été adoptée e</w:t>
      </w:r>
      <w:r w:rsidR="00487339" w:rsidRPr="00313146">
        <w:t>n 2019</w:t>
      </w:r>
      <w:r w:rsidRPr="00313146">
        <w:t xml:space="preserve"> pour faire du Canada un pays exempt d</w:t>
      </w:r>
      <w:r w:rsidR="00FE6A95" w:rsidRPr="00313146">
        <w:t>’</w:t>
      </w:r>
      <w:r w:rsidRPr="00313146">
        <w:t>obstacles d</w:t>
      </w:r>
      <w:r w:rsidR="00FE6A95" w:rsidRPr="00313146">
        <w:t>’</w:t>
      </w:r>
      <w:r w:rsidRPr="00313146">
        <w:t xml:space="preserve">ici </w:t>
      </w:r>
      <w:r w:rsidR="005D7783" w:rsidRPr="00313146">
        <w:t xml:space="preserve">2040. </w:t>
      </w:r>
      <w:r w:rsidRPr="00313146">
        <w:t>Elle exige que les entités relevant de la compétence fédérale reconnaissent, éliminent et préviennent les obstacles à l</w:t>
      </w:r>
      <w:r w:rsidR="00FE6A95" w:rsidRPr="00313146">
        <w:t>’</w:t>
      </w:r>
      <w:r w:rsidRPr="00313146">
        <w:t>accessibilité dans sept domaines prioritaires, dont les TIC et</w:t>
      </w:r>
      <w:r w:rsidR="009B251A" w:rsidRPr="00313146">
        <w:t xml:space="preserve"> l</w:t>
      </w:r>
      <w:r w:rsidR="00FE6A95" w:rsidRPr="00313146">
        <w:t>’</w:t>
      </w:r>
      <w:r w:rsidR="009B251A" w:rsidRPr="00313146">
        <w:t>approvisionnement</w:t>
      </w:r>
      <w:r w:rsidR="00C57899" w:rsidRPr="003D752C">
        <w:t>.</w:t>
      </w:r>
    </w:p>
    <w:p w14:paraId="028623E4" w14:textId="1785DF0F" w:rsidR="00487339" w:rsidRPr="00313146" w:rsidRDefault="009B251A" w:rsidP="003D752C">
      <w:pPr>
        <w:rPr>
          <w:rFonts w:ascii="Arial" w:hAnsi="Arial"/>
        </w:rPr>
      </w:pPr>
      <w:r w:rsidRPr="00313146">
        <w:t>La LCA exige également que les organisations publient des plans d</w:t>
      </w:r>
      <w:r w:rsidR="00FE6A95" w:rsidRPr="00313146">
        <w:t>’</w:t>
      </w:r>
      <w:r w:rsidRPr="00313146">
        <w:t>accessibilité et des rapports d</w:t>
      </w:r>
      <w:r w:rsidR="00FE6A95" w:rsidRPr="00313146">
        <w:t>’</w:t>
      </w:r>
      <w:r w:rsidRPr="00313146">
        <w:t>étape annuels.</w:t>
      </w:r>
      <w:r w:rsidR="00514025" w:rsidRPr="00313146">
        <w:t xml:space="preserve"> </w:t>
      </w:r>
      <w:r w:rsidRPr="00313146">
        <w:t>Vous trouverez les plans ministériels sur l</w:t>
      </w:r>
      <w:r w:rsidR="00FE6A95" w:rsidRPr="00313146">
        <w:t>’</w:t>
      </w:r>
      <w:r w:rsidRPr="00313146">
        <w:t xml:space="preserve">accessibilité à </w:t>
      </w:r>
      <w:hyperlink r:id="rId14" w:history="1">
        <w:r w:rsidRPr="003D752C">
          <w:rPr>
            <w:rStyle w:val="Hyperlink"/>
          </w:rPr>
          <w:t xml:space="preserve">Accessibilité au sein de la fonction publique </w:t>
        </w:r>
        <w:r w:rsidR="00FE6A95" w:rsidRPr="003D752C">
          <w:rPr>
            <w:rStyle w:val="Hyperlink"/>
          </w:rPr>
          <w:t xml:space="preserve">– </w:t>
        </w:r>
        <w:r w:rsidRPr="003D752C">
          <w:rPr>
            <w:rStyle w:val="Hyperlink"/>
          </w:rPr>
          <w:t>Canada.ca</w:t>
        </w:r>
      </w:hyperlink>
      <w:r w:rsidR="002E6290" w:rsidRPr="00313146">
        <w:t>.</w:t>
      </w:r>
      <w:r w:rsidRPr="00313146">
        <w:t> </w:t>
      </w:r>
    </w:p>
    <w:p w14:paraId="7F1684EE" w14:textId="75EDB8C4" w:rsidR="00092D36" w:rsidRPr="00313146" w:rsidRDefault="009B251A" w:rsidP="003D752C">
      <w:r w:rsidRPr="00313146">
        <w:t xml:space="preserve">La </w:t>
      </w:r>
      <w:hyperlink r:id="rId15" w:history="1">
        <w:r w:rsidRPr="003D752C">
          <w:rPr>
            <w:rStyle w:val="Hyperlink"/>
          </w:rPr>
          <w:t>Stratégie sur l</w:t>
        </w:r>
        <w:r w:rsidR="00FE6A95" w:rsidRPr="003D752C">
          <w:rPr>
            <w:rStyle w:val="Hyperlink"/>
          </w:rPr>
          <w:t>’</w:t>
        </w:r>
        <w:r w:rsidRPr="003D752C">
          <w:rPr>
            <w:rStyle w:val="Hyperlink"/>
          </w:rPr>
          <w:t>accessibilité au sein de la fonction publique du Canada</w:t>
        </w:r>
      </w:hyperlink>
      <w:r w:rsidRPr="00313146">
        <w:t xml:space="preserve"> :</w:t>
      </w:r>
    </w:p>
    <w:p w14:paraId="7BB33305" w14:textId="2579F2B3" w:rsidR="00E71CE8" w:rsidRPr="00313146" w:rsidRDefault="00E71CE8" w:rsidP="001508D0">
      <w:pPr>
        <w:pStyle w:val="ListParagraph"/>
        <w:numPr>
          <w:ilvl w:val="0"/>
          <w:numId w:val="3"/>
        </w:numPr>
      </w:pPr>
      <w:proofErr w:type="gramStart"/>
      <w:r w:rsidRPr="00313146">
        <w:t>définit</w:t>
      </w:r>
      <w:proofErr w:type="gramEnd"/>
      <w:r w:rsidRPr="00313146">
        <w:t xml:space="preserve"> la manière dont le GC fera progresser l</w:t>
      </w:r>
      <w:r w:rsidR="00FE6A95" w:rsidRPr="00313146">
        <w:t>’</w:t>
      </w:r>
      <w:r w:rsidRPr="00313146">
        <w:t xml:space="preserve">accessibilité pour tous les Canadiens par le biais de ses politiques, programmes et services; </w:t>
      </w:r>
    </w:p>
    <w:p w14:paraId="1F89829F" w14:textId="404D66F0" w:rsidR="005E09BC" w:rsidRPr="00313146" w:rsidRDefault="00E71CE8" w:rsidP="001508D0">
      <w:pPr>
        <w:pStyle w:val="ListParagraph"/>
        <w:numPr>
          <w:ilvl w:val="0"/>
          <w:numId w:val="3"/>
        </w:numPr>
      </w:pPr>
      <w:proofErr w:type="gramStart"/>
      <w:r w:rsidRPr="00313146">
        <w:t>désigne</w:t>
      </w:r>
      <w:proofErr w:type="gramEnd"/>
      <w:r w:rsidRPr="00313146">
        <w:t xml:space="preserve"> SPC comme responsable de l</w:t>
      </w:r>
      <w:r w:rsidR="00FE6A95" w:rsidRPr="00313146">
        <w:t>’</w:t>
      </w:r>
      <w:r w:rsidRPr="00313146">
        <w:t>élaboration du cadre sur la manière d</w:t>
      </w:r>
      <w:r w:rsidR="00FE6A95" w:rsidRPr="00313146">
        <w:t>’</w:t>
      </w:r>
      <w:r w:rsidRPr="00313146">
        <w:t>intégrer les exigences d</w:t>
      </w:r>
      <w:r w:rsidR="00FE6A95" w:rsidRPr="00313146">
        <w:t>’</w:t>
      </w:r>
      <w:r w:rsidRPr="00313146">
        <w:t>accessibilité dans les approvisionnements liés aux TIC.</w:t>
      </w:r>
    </w:p>
    <w:p w14:paraId="0F56299B" w14:textId="1BD6502E" w:rsidR="00092D36" w:rsidRPr="003D752C" w:rsidRDefault="00E71CE8" w:rsidP="003D752C">
      <w:r w:rsidRPr="003D752C">
        <w:t xml:space="preserve">La </w:t>
      </w:r>
      <w:hyperlink r:id="rId16" w:history="1">
        <w:r w:rsidRPr="003D752C">
          <w:rPr>
            <w:rStyle w:val="Hyperlink"/>
          </w:rPr>
          <w:t>Ligne directrice sur l</w:t>
        </w:r>
        <w:r w:rsidR="00FE6A95" w:rsidRPr="003D752C">
          <w:rPr>
            <w:rStyle w:val="Hyperlink"/>
          </w:rPr>
          <w:t>’</w:t>
        </w:r>
        <w:r w:rsidRPr="003D752C">
          <w:rPr>
            <w:rStyle w:val="Hyperlink"/>
          </w:rPr>
          <w:t>utilisabilité de la technologie de l</w:t>
        </w:r>
        <w:r w:rsidR="00FE6A95" w:rsidRPr="003D752C">
          <w:rPr>
            <w:rStyle w:val="Hyperlink"/>
          </w:rPr>
          <w:t>’</w:t>
        </w:r>
        <w:r w:rsidRPr="003D752C">
          <w:rPr>
            <w:rStyle w:val="Hyperlink"/>
          </w:rPr>
          <w:t>information (TI) par tous</w:t>
        </w:r>
      </w:hyperlink>
      <w:r w:rsidRPr="003D752C">
        <w:t> :</w:t>
      </w:r>
    </w:p>
    <w:p w14:paraId="6BE12729" w14:textId="7DDBDDB6" w:rsidR="00092D36" w:rsidRPr="00313146" w:rsidRDefault="00E71CE8" w:rsidP="001508D0">
      <w:pPr>
        <w:pStyle w:val="ListParagraph"/>
        <w:numPr>
          <w:ilvl w:val="0"/>
          <w:numId w:val="4"/>
        </w:numPr>
      </w:pPr>
      <w:proofErr w:type="gramStart"/>
      <w:r w:rsidRPr="003D752C">
        <w:t>encourage</w:t>
      </w:r>
      <w:proofErr w:type="gramEnd"/>
      <w:r w:rsidRPr="003D752C">
        <w:t xml:space="preserve"> fortement les ministères, les organismes et les organisations à s</w:t>
      </w:r>
      <w:r w:rsidR="00FE6A95" w:rsidRPr="003D752C">
        <w:t>’</w:t>
      </w:r>
      <w:r w:rsidRPr="003D752C">
        <w:t xml:space="preserve">inspirer de la </w:t>
      </w:r>
      <w:r w:rsidR="00657ED4" w:rsidRPr="003D752C">
        <w:t xml:space="preserve">norme </w:t>
      </w:r>
      <w:r w:rsidR="00FE5160" w:rsidRPr="003D752C">
        <w:t>« </w:t>
      </w:r>
      <w:bookmarkStart w:id="4" w:name="_Hlk183174414"/>
      <w:r w:rsidRPr="00313146">
        <w:fldChar w:fldCharType="begin"/>
      </w:r>
      <w:r w:rsidR="00304D83">
        <w:instrText>HYPERLINK "https://accessibilite.canada.ca/en-301-549-exigences-daccessibilite-pour-les-produits-et-services-tic"</w:instrText>
      </w:r>
      <w:r w:rsidRPr="00313146">
        <w:fldChar w:fldCharType="separate"/>
      </w:r>
      <w:r w:rsidRPr="003D752C">
        <w:rPr>
          <w:rStyle w:val="Hyperlink"/>
        </w:rPr>
        <w:t>CAN/ASC </w:t>
      </w:r>
      <w:r w:rsidR="00FE6A95" w:rsidRPr="003D752C">
        <w:rPr>
          <w:rStyle w:val="Hyperlink"/>
        </w:rPr>
        <w:t xml:space="preserve">– </w:t>
      </w:r>
      <w:r w:rsidRPr="003D752C">
        <w:rPr>
          <w:rStyle w:val="Hyperlink"/>
        </w:rPr>
        <w:t>EN 301 549:2024 Exigences d</w:t>
      </w:r>
      <w:r w:rsidR="00FE6A95" w:rsidRPr="003D752C">
        <w:rPr>
          <w:rStyle w:val="Hyperlink"/>
        </w:rPr>
        <w:t>’</w:t>
      </w:r>
      <w:r w:rsidRPr="003D752C">
        <w:rPr>
          <w:rStyle w:val="Hyperlink"/>
        </w:rPr>
        <w:t xml:space="preserve">accessibilité </w:t>
      </w:r>
      <w:r w:rsidRPr="003D752C">
        <w:rPr>
          <w:rStyle w:val="Hyperlink"/>
        </w:rPr>
        <w:lastRenderedPageBreak/>
        <w:t>pour les produits et services TIC (EN 301 549:2021, IDT)</w:t>
      </w:r>
      <w:r w:rsidRPr="00313146">
        <w:fldChar w:fldCharType="end"/>
      </w:r>
      <w:bookmarkEnd w:id="4"/>
      <w:r w:rsidR="00FE5160" w:rsidRPr="003D752C">
        <w:t> » (norme CAN/ASC)</w:t>
      </w:r>
      <w:r w:rsidRPr="003D752C">
        <w:t xml:space="preserve"> lorsqu</w:t>
      </w:r>
      <w:r w:rsidR="00FE6A95" w:rsidRPr="003D752C">
        <w:t>’</w:t>
      </w:r>
      <w:r w:rsidRPr="003D752C">
        <w:t>ils </w:t>
      </w:r>
      <w:r w:rsidR="00FE5160" w:rsidRPr="003D752C">
        <w:t>acquièrent ou développent des TIC internes et publiques;</w:t>
      </w:r>
    </w:p>
    <w:p w14:paraId="128608A1" w14:textId="5FB11179" w:rsidR="00487339" w:rsidRPr="00313146" w:rsidRDefault="00FE5160" w:rsidP="001508D0">
      <w:pPr>
        <w:pStyle w:val="ListParagraph"/>
        <w:numPr>
          <w:ilvl w:val="0"/>
          <w:numId w:val="4"/>
        </w:numPr>
      </w:pPr>
      <w:proofErr w:type="gramStart"/>
      <w:r w:rsidRPr="00313146">
        <w:t>fournit</w:t>
      </w:r>
      <w:proofErr w:type="gramEnd"/>
      <w:r w:rsidRPr="00313146">
        <w:t xml:space="preserve"> un contexte supplémentaire pour expliquer pourquoi l</w:t>
      </w:r>
      <w:r w:rsidR="00FE6A95" w:rsidRPr="00313146">
        <w:t>’</w:t>
      </w:r>
      <w:r w:rsidRPr="00313146">
        <w:t xml:space="preserve">accessibilité est importante pour le </w:t>
      </w:r>
      <w:r w:rsidR="004C7D17" w:rsidRPr="00313146">
        <w:t>GC</w:t>
      </w:r>
      <w:r w:rsidRPr="00313146">
        <w:t>.</w:t>
      </w:r>
    </w:p>
    <w:p w14:paraId="32986EA0" w14:textId="523481D6" w:rsidR="008B38CE" w:rsidRPr="00313146" w:rsidRDefault="00FE5160" w:rsidP="003D752C">
      <w:pPr>
        <w:rPr>
          <w:rFonts w:ascii="Arial" w:hAnsi="Arial"/>
        </w:rPr>
      </w:pPr>
      <w:r w:rsidRPr="00313146">
        <w:t>Remarque :</w:t>
      </w:r>
      <w:r w:rsidR="008B38CE" w:rsidRPr="00313146">
        <w:t xml:space="preserve"> </w:t>
      </w:r>
      <w:r w:rsidRPr="00313146">
        <w:t xml:space="preserve">La norme </w:t>
      </w:r>
      <w:r w:rsidR="008B38CE" w:rsidRPr="00313146">
        <w:t xml:space="preserve">CAN/ASC </w:t>
      </w:r>
      <w:r w:rsidRPr="00313146">
        <w:t xml:space="preserve">est une copie de la norme </w:t>
      </w:r>
      <w:r w:rsidR="00D95ABF" w:rsidRPr="00313146">
        <w:t xml:space="preserve">EN 301 549 v.3.2.1 (2021-03) </w:t>
      </w:r>
      <w:hyperlink r:id="rId17" w:history="1">
        <w:r w:rsidR="00304D83">
          <w:rPr>
            <w:rStyle w:val="Hyperlink"/>
          </w:rPr>
          <w:t>Norme européenne harmonisée – Exigences en matière d’accessibilité applicables aux produits et services liés aux TIC (en anglais seulement)</w:t>
        </w:r>
      </w:hyperlink>
      <w:r w:rsidRPr="003D752C">
        <w:t>.</w:t>
      </w:r>
    </w:p>
    <w:p w14:paraId="195F8322" w14:textId="2EB26538" w:rsidR="001007AD" w:rsidRPr="00D24D08" w:rsidRDefault="00FE5160" w:rsidP="00AE2F49">
      <w:pPr>
        <w:pStyle w:val="Heading1"/>
        <w:rPr>
          <w:lang w:eastAsia="en-CA"/>
        </w:rPr>
      </w:pPr>
      <w:bookmarkStart w:id="5" w:name="_Toc187907161"/>
      <w:r w:rsidRPr="00D24D08">
        <w:rPr>
          <w:lang w:eastAsia="en-CA"/>
        </w:rPr>
        <w:t xml:space="preserve">À propos de la norme </w:t>
      </w:r>
      <w:r w:rsidR="001007AD" w:rsidRPr="00D24D08">
        <w:rPr>
          <w:lang w:eastAsia="en-CA"/>
        </w:rPr>
        <w:t>EN 301 549</w:t>
      </w:r>
      <w:bookmarkEnd w:id="5"/>
    </w:p>
    <w:p w14:paraId="7941D976" w14:textId="555C7A82" w:rsidR="00023E23" w:rsidRPr="003D752C" w:rsidRDefault="00223B30" w:rsidP="003D752C">
      <w:r w:rsidRPr="003D752C">
        <w:t xml:space="preserve">Bien que le présent </w:t>
      </w:r>
      <w:r w:rsidR="00023E23" w:rsidRPr="00313146">
        <w:t xml:space="preserve">Guide </w:t>
      </w:r>
      <w:r w:rsidRPr="00313146">
        <w:t xml:space="preserve">fasse référence à la « norme </w:t>
      </w:r>
      <w:r w:rsidR="00023E23" w:rsidRPr="003D752C">
        <w:t>EN 301 549 (2021)</w:t>
      </w:r>
      <w:r w:rsidRPr="003D752C">
        <w:t> »</w:t>
      </w:r>
      <w:r w:rsidR="00023E23" w:rsidRPr="003D752C">
        <w:t xml:space="preserve">, </w:t>
      </w:r>
      <w:r w:rsidRPr="003D752C">
        <w:t>son nom au complet est « </w:t>
      </w:r>
      <w:hyperlink r:id="rId18" w:history="1">
        <w:r w:rsidR="00A1107A">
          <w:rPr>
            <w:rStyle w:val="Hyperlink"/>
          </w:rPr>
          <w:t>EN 301 549 V3.2.1 (2021-03) Norme européenne harmonisée – Exigences en matière d’accessibilité applicables aux produits et services liés aux TIC (lien disponible en anglais seulement)</w:t>
        </w:r>
      </w:hyperlink>
      <w:r w:rsidRPr="003D752C">
        <w:t> »</w:t>
      </w:r>
      <w:r w:rsidR="00023E23" w:rsidRPr="003D752C">
        <w:t>.</w:t>
      </w:r>
      <w:r w:rsidR="00990D9B" w:rsidRPr="003D752C">
        <w:t xml:space="preserve"> </w:t>
      </w:r>
      <w:r w:rsidRPr="003D752C">
        <w:t xml:space="preserve">La norme </w:t>
      </w:r>
      <w:r w:rsidR="00990D9B" w:rsidRPr="003D752C">
        <w:t xml:space="preserve">EN 301 549 (2021) </w:t>
      </w:r>
      <w:r w:rsidRPr="003D752C">
        <w:t>définit les exigences d</w:t>
      </w:r>
      <w:r w:rsidR="00FE6A95" w:rsidRPr="003D752C">
        <w:t>’</w:t>
      </w:r>
      <w:r w:rsidRPr="003D752C">
        <w:t>accessibilité pour les produits et services TIC</w:t>
      </w:r>
      <w:r w:rsidR="00990D9B" w:rsidRPr="003D752C">
        <w:t>.</w:t>
      </w:r>
    </w:p>
    <w:p w14:paraId="3542BB96" w14:textId="5CFE9C74" w:rsidR="00F71F49" w:rsidRPr="003D752C" w:rsidRDefault="00AC08BE" w:rsidP="003D752C">
      <w:bookmarkStart w:id="6" w:name="_What_are_you"/>
      <w:bookmarkEnd w:id="6"/>
      <w:r w:rsidRPr="003D752C">
        <w:t xml:space="preserve">La norme </w:t>
      </w:r>
      <w:r w:rsidR="003F07F5" w:rsidRPr="003D752C">
        <w:t>EN 301 549 (2021)</w:t>
      </w:r>
      <w:r w:rsidR="00F71F49" w:rsidRPr="003D752C">
        <w:t xml:space="preserve"> </w:t>
      </w:r>
      <w:r w:rsidRPr="003D752C">
        <w:t>s</w:t>
      </w:r>
      <w:r w:rsidR="00FE6A95" w:rsidRPr="003D752C">
        <w:t>’</w:t>
      </w:r>
      <w:r w:rsidRPr="003D752C">
        <w:t>applique à presque chaque approvisionnement en TIC, tel que les suivants :</w:t>
      </w:r>
    </w:p>
    <w:p w14:paraId="3513E799" w14:textId="2702AEEB" w:rsidR="003449AE" w:rsidRPr="003D752C" w:rsidRDefault="00AC08BE" w:rsidP="001508D0">
      <w:pPr>
        <w:pStyle w:val="ListParagraph"/>
        <w:numPr>
          <w:ilvl w:val="0"/>
          <w:numId w:val="5"/>
        </w:numPr>
      </w:pPr>
      <w:proofErr w:type="gramStart"/>
      <w:r w:rsidRPr="003D752C">
        <w:t>les</w:t>
      </w:r>
      <w:proofErr w:type="gramEnd"/>
      <w:r w:rsidRPr="003D752C">
        <w:t xml:space="preserve"> logiciels, y compris les applications mobiles</w:t>
      </w:r>
      <w:r w:rsidR="00990D9B" w:rsidRPr="003D752C">
        <w:t>;</w:t>
      </w:r>
    </w:p>
    <w:p w14:paraId="57A89F2A" w14:textId="5DA65298" w:rsidR="003449AE" w:rsidRPr="003D752C" w:rsidRDefault="00AC08BE" w:rsidP="001508D0">
      <w:pPr>
        <w:pStyle w:val="ListParagraph"/>
        <w:numPr>
          <w:ilvl w:val="0"/>
          <w:numId w:val="5"/>
        </w:numPr>
      </w:pPr>
      <w:proofErr w:type="gramStart"/>
      <w:r w:rsidRPr="003D752C">
        <w:t>les</w:t>
      </w:r>
      <w:proofErr w:type="gramEnd"/>
      <w:r w:rsidRPr="003D752C">
        <w:t xml:space="preserve"> sites Web/pages Web </w:t>
      </w:r>
      <w:r w:rsidR="00A00FEE" w:rsidRPr="003D752C">
        <w:t>(</w:t>
      </w:r>
      <w:r w:rsidRPr="003D752C">
        <w:t xml:space="preserve">sites Web externes et </w:t>
      </w:r>
      <w:r w:rsidR="00E30087" w:rsidRPr="003D752C">
        <w:t xml:space="preserve">sites Web internes du </w:t>
      </w:r>
      <w:r w:rsidRPr="003D752C">
        <w:t>GC</w:t>
      </w:r>
      <w:r w:rsidR="00A00FEE" w:rsidRPr="003D752C">
        <w:t>)</w:t>
      </w:r>
      <w:r w:rsidR="00990D9B" w:rsidRPr="003D752C">
        <w:t>;</w:t>
      </w:r>
    </w:p>
    <w:p w14:paraId="7AEEEC24" w14:textId="565453B4" w:rsidR="003449AE" w:rsidRPr="003D752C" w:rsidRDefault="008A7BCD" w:rsidP="001508D0">
      <w:pPr>
        <w:pStyle w:val="ListParagraph"/>
        <w:numPr>
          <w:ilvl w:val="0"/>
          <w:numId w:val="5"/>
        </w:numPr>
      </w:pPr>
      <w:proofErr w:type="gramStart"/>
      <w:r w:rsidRPr="003D752C">
        <w:t>les</w:t>
      </w:r>
      <w:proofErr w:type="gramEnd"/>
      <w:r w:rsidRPr="003D752C">
        <w:t xml:space="preserve"> panneaux d</w:t>
      </w:r>
      <w:r w:rsidR="00FE6A95" w:rsidRPr="003D752C">
        <w:t>’</w:t>
      </w:r>
      <w:r w:rsidRPr="003D752C">
        <w:t>administration</w:t>
      </w:r>
      <w:r w:rsidR="00990D9B" w:rsidRPr="003D752C">
        <w:t>;</w:t>
      </w:r>
    </w:p>
    <w:p w14:paraId="3AE611C5" w14:textId="4A3AEB8B" w:rsidR="003449AE" w:rsidRPr="003D752C" w:rsidRDefault="008A7BCD" w:rsidP="001508D0">
      <w:pPr>
        <w:pStyle w:val="ListParagraph"/>
        <w:numPr>
          <w:ilvl w:val="0"/>
          <w:numId w:val="5"/>
        </w:numPr>
      </w:pPr>
      <w:proofErr w:type="gramStart"/>
      <w:r w:rsidRPr="003D752C">
        <w:t>les</w:t>
      </w:r>
      <w:proofErr w:type="gramEnd"/>
      <w:r w:rsidRPr="003D752C">
        <w:t xml:space="preserve"> appareils mobiles</w:t>
      </w:r>
      <w:r w:rsidR="00990D9B" w:rsidRPr="003D752C">
        <w:t>;</w:t>
      </w:r>
    </w:p>
    <w:p w14:paraId="2744939A" w14:textId="0CB68309" w:rsidR="003449AE" w:rsidRPr="003D752C" w:rsidRDefault="008A7BCD" w:rsidP="001508D0">
      <w:pPr>
        <w:pStyle w:val="ListParagraph"/>
        <w:numPr>
          <w:ilvl w:val="0"/>
          <w:numId w:val="5"/>
        </w:numPr>
      </w:pPr>
      <w:proofErr w:type="gramStart"/>
      <w:r w:rsidRPr="003D752C">
        <w:t>le</w:t>
      </w:r>
      <w:proofErr w:type="gramEnd"/>
      <w:r w:rsidRPr="003D752C">
        <w:t xml:space="preserve"> matériel, y compris les ordinateurs portables</w:t>
      </w:r>
      <w:r w:rsidR="00990D9B" w:rsidRPr="003D752C">
        <w:t>;</w:t>
      </w:r>
    </w:p>
    <w:p w14:paraId="0CDF370B" w14:textId="63547C83" w:rsidR="003449AE" w:rsidRPr="003D752C" w:rsidRDefault="008A7BCD" w:rsidP="001508D0">
      <w:pPr>
        <w:pStyle w:val="ListParagraph"/>
        <w:numPr>
          <w:ilvl w:val="0"/>
          <w:numId w:val="5"/>
        </w:numPr>
      </w:pPr>
      <w:proofErr w:type="gramStart"/>
      <w:r w:rsidRPr="003D752C">
        <w:t>les</w:t>
      </w:r>
      <w:proofErr w:type="gramEnd"/>
      <w:r w:rsidRPr="003D752C">
        <w:t xml:space="preserve"> imprimantes</w:t>
      </w:r>
      <w:r w:rsidR="00990D9B" w:rsidRPr="003D752C">
        <w:t>;</w:t>
      </w:r>
    </w:p>
    <w:p w14:paraId="6A4F4808" w14:textId="5A134751" w:rsidR="003449AE" w:rsidRPr="003D752C" w:rsidRDefault="008A7BCD" w:rsidP="001508D0">
      <w:pPr>
        <w:pStyle w:val="ListParagraph"/>
        <w:numPr>
          <w:ilvl w:val="0"/>
          <w:numId w:val="5"/>
        </w:numPr>
      </w:pPr>
      <w:proofErr w:type="gramStart"/>
      <w:r w:rsidRPr="003D752C">
        <w:t>les</w:t>
      </w:r>
      <w:proofErr w:type="gramEnd"/>
      <w:r w:rsidRPr="003D752C">
        <w:t xml:space="preserve"> </w:t>
      </w:r>
      <w:r w:rsidR="00695567" w:rsidRPr="003D752C">
        <w:t>guichets d</w:t>
      </w:r>
      <w:r w:rsidR="00FE6A95" w:rsidRPr="003D752C">
        <w:t>’</w:t>
      </w:r>
      <w:r w:rsidR="00695567" w:rsidRPr="003D752C">
        <w:t xml:space="preserve">information et machines de </w:t>
      </w:r>
      <w:r w:rsidR="003449AE" w:rsidRPr="003D752C">
        <w:t>transaction</w:t>
      </w:r>
      <w:r w:rsidR="00990D9B" w:rsidRPr="003D752C">
        <w:t>;</w:t>
      </w:r>
    </w:p>
    <w:p w14:paraId="56D75E26" w14:textId="61561190" w:rsidR="00EA4E05" w:rsidRPr="003D752C" w:rsidRDefault="00695567" w:rsidP="001508D0">
      <w:pPr>
        <w:pStyle w:val="ListParagraph"/>
        <w:numPr>
          <w:ilvl w:val="0"/>
          <w:numId w:val="5"/>
        </w:numPr>
      </w:pPr>
      <w:proofErr w:type="gramStart"/>
      <w:r w:rsidRPr="003D752C">
        <w:t>les</w:t>
      </w:r>
      <w:proofErr w:type="gramEnd"/>
      <w:r w:rsidRPr="003D752C">
        <w:t xml:space="preserve"> </w:t>
      </w:r>
      <w:r w:rsidR="001846EC" w:rsidRPr="003D752C">
        <w:t>d</w:t>
      </w:r>
      <w:r w:rsidR="003449AE" w:rsidRPr="003D752C">
        <w:t>ocuments (</w:t>
      </w:r>
      <w:r w:rsidRPr="003D752C">
        <w:t>contenu électronique ou documents non destinés au W</w:t>
      </w:r>
      <w:r w:rsidR="003449AE" w:rsidRPr="003D752C">
        <w:t>eb)</w:t>
      </w:r>
      <w:r w:rsidR="001A754A" w:rsidRPr="003D752C">
        <w:t xml:space="preserve">, </w:t>
      </w:r>
      <w:r w:rsidRPr="003D752C">
        <w:t>y compris :</w:t>
      </w:r>
    </w:p>
    <w:p w14:paraId="7E609B63" w14:textId="197705A6" w:rsidR="00695567" w:rsidRPr="003D752C" w:rsidRDefault="00695567" w:rsidP="001508D0">
      <w:pPr>
        <w:pStyle w:val="ListParagraph"/>
        <w:numPr>
          <w:ilvl w:val="0"/>
          <w:numId w:val="5"/>
        </w:numPr>
      </w:pPr>
      <w:proofErr w:type="gramStart"/>
      <w:r w:rsidRPr="003D752C">
        <w:t>les</w:t>
      </w:r>
      <w:proofErr w:type="gramEnd"/>
      <w:r w:rsidRPr="003D752C">
        <w:t xml:space="preserve"> manuels d</w:t>
      </w:r>
      <w:r w:rsidR="00FE6A95" w:rsidRPr="003D752C">
        <w:t>’</w:t>
      </w:r>
      <w:r w:rsidRPr="003D752C">
        <w:t>instruction ou techniques pour un bien ou un service;</w:t>
      </w:r>
    </w:p>
    <w:p w14:paraId="5B361C79" w14:textId="77777777" w:rsidR="00695567" w:rsidRPr="003D752C" w:rsidRDefault="00695567" w:rsidP="001508D0">
      <w:pPr>
        <w:pStyle w:val="ListParagraph"/>
        <w:numPr>
          <w:ilvl w:val="1"/>
          <w:numId w:val="5"/>
        </w:numPr>
      </w:pPr>
      <w:proofErr w:type="gramStart"/>
      <w:r w:rsidRPr="003D752C">
        <w:t>le</w:t>
      </w:r>
      <w:proofErr w:type="gramEnd"/>
      <w:r w:rsidRPr="003D752C">
        <w:t xml:space="preserve"> matériel de formation;</w:t>
      </w:r>
    </w:p>
    <w:p w14:paraId="45EF435F" w14:textId="77777777" w:rsidR="00695567" w:rsidRPr="003D752C" w:rsidRDefault="00695567" w:rsidP="001508D0">
      <w:pPr>
        <w:pStyle w:val="ListParagraph"/>
        <w:numPr>
          <w:ilvl w:val="1"/>
          <w:numId w:val="5"/>
        </w:numPr>
      </w:pPr>
      <w:proofErr w:type="gramStart"/>
      <w:r w:rsidRPr="003D752C">
        <w:t>les</w:t>
      </w:r>
      <w:proofErr w:type="gramEnd"/>
      <w:r w:rsidRPr="003D752C">
        <w:t xml:space="preserve"> présentations;</w:t>
      </w:r>
    </w:p>
    <w:p w14:paraId="06F85F31" w14:textId="77777777" w:rsidR="00695567" w:rsidRPr="003D752C" w:rsidRDefault="00695567" w:rsidP="001508D0">
      <w:pPr>
        <w:pStyle w:val="ListParagraph"/>
        <w:numPr>
          <w:ilvl w:val="1"/>
          <w:numId w:val="5"/>
        </w:numPr>
      </w:pPr>
      <w:proofErr w:type="gramStart"/>
      <w:r w:rsidRPr="003D752C">
        <w:t>les</w:t>
      </w:r>
      <w:proofErr w:type="gramEnd"/>
      <w:r w:rsidRPr="003D752C">
        <w:t xml:space="preserve"> rapports;</w:t>
      </w:r>
    </w:p>
    <w:p w14:paraId="7EC2E7F4" w14:textId="0F36EFA7" w:rsidR="00910339" w:rsidRPr="003D752C" w:rsidRDefault="00695567" w:rsidP="001508D0">
      <w:pPr>
        <w:pStyle w:val="ListParagraph"/>
        <w:numPr>
          <w:ilvl w:val="1"/>
          <w:numId w:val="5"/>
        </w:numPr>
      </w:pPr>
      <w:proofErr w:type="gramStart"/>
      <w:r w:rsidRPr="003D752C">
        <w:t>les</w:t>
      </w:r>
      <w:proofErr w:type="gramEnd"/>
      <w:r w:rsidRPr="003D752C">
        <w:t xml:space="preserve"> courriels</w:t>
      </w:r>
      <w:r w:rsidR="001A754A" w:rsidRPr="003D752C">
        <w:t>.</w:t>
      </w:r>
    </w:p>
    <w:p w14:paraId="1542FC29" w14:textId="3047F643" w:rsidR="00333E89" w:rsidRPr="003D752C" w:rsidRDefault="00695567" w:rsidP="001508D0">
      <w:pPr>
        <w:pStyle w:val="ListParagraph"/>
        <w:numPr>
          <w:ilvl w:val="0"/>
          <w:numId w:val="5"/>
        </w:numPr>
      </w:pPr>
      <w:proofErr w:type="gramStart"/>
      <w:r w:rsidRPr="003D752C">
        <w:lastRenderedPageBreak/>
        <w:t>le</w:t>
      </w:r>
      <w:proofErr w:type="gramEnd"/>
      <w:r w:rsidRPr="003D752C">
        <w:t xml:space="preserve"> soutien des TIC, y compris :</w:t>
      </w:r>
    </w:p>
    <w:p w14:paraId="0A83E27D" w14:textId="268A3E84" w:rsidR="00333E89" w:rsidRPr="003D752C" w:rsidRDefault="00695567" w:rsidP="001508D0">
      <w:pPr>
        <w:pStyle w:val="ListParagraph"/>
        <w:numPr>
          <w:ilvl w:val="1"/>
          <w:numId w:val="5"/>
        </w:numPr>
      </w:pPr>
      <w:proofErr w:type="gramStart"/>
      <w:r w:rsidRPr="003D752C">
        <w:t>les</w:t>
      </w:r>
      <w:proofErr w:type="gramEnd"/>
      <w:r w:rsidRPr="003D752C">
        <w:t xml:space="preserve"> services d</w:t>
      </w:r>
      <w:r w:rsidR="00FE6A95" w:rsidRPr="003D752C">
        <w:t>’</w:t>
      </w:r>
      <w:r w:rsidRPr="003D752C">
        <w:t>assistance;</w:t>
      </w:r>
    </w:p>
    <w:p w14:paraId="41198B07" w14:textId="1B1B417E" w:rsidR="003449AE" w:rsidRPr="003D752C" w:rsidRDefault="00695567" w:rsidP="001508D0">
      <w:pPr>
        <w:pStyle w:val="ListParagraph"/>
        <w:numPr>
          <w:ilvl w:val="1"/>
          <w:numId w:val="5"/>
        </w:numPr>
      </w:pPr>
      <w:proofErr w:type="gramStart"/>
      <w:r w:rsidRPr="003D752C">
        <w:t>le</w:t>
      </w:r>
      <w:proofErr w:type="gramEnd"/>
      <w:r w:rsidRPr="003D752C">
        <w:t xml:space="preserve"> soutien du service à la clientèle</w:t>
      </w:r>
      <w:r w:rsidR="001A754A" w:rsidRPr="003D752C">
        <w:t>.</w:t>
      </w:r>
    </w:p>
    <w:p w14:paraId="0BF76862" w14:textId="2445A82D" w:rsidR="003449AE" w:rsidRPr="003D752C" w:rsidRDefault="00695567" w:rsidP="001508D0">
      <w:pPr>
        <w:pStyle w:val="ListParagraph"/>
        <w:numPr>
          <w:ilvl w:val="0"/>
          <w:numId w:val="5"/>
        </w:numPr>
      </w:pPr>
      <w:proofErr w:type="gramStart"/>
      <w:r w:rsidRPr="003D752C">
        <w:t>les</w:t>
      </w:r>
      <w:proofErr w:type="gramEnd"/>
      <w:r w:rsidRPr="003D752C">
        <w:t xml:space="preserve"> produits de télé</w:t>
      </w:r>
      <w:r w:rsidR="003449AE" w:rsidRPr="003D752C">
        <w:t xml:space="preserve">communications, </w:t>
      </w:r>
      <w:r w:rsidRPr="003D752C">
        <w:t>y compris les conférences audio/Web;</w:t>
      </w:r>
    </w:p>
    <w:p w14:paraId="2D6C2D1A" w14:textId="340471BB" w:rsidR="003449AE" w:rsidRPr="003D752C" w:rsidRDefault="00695567" w:rsidP="001508D0">
      <w:pPr>
        <w:pStyle w:val="ListParagraph"/>
        <w:numPr>
          <w:ilvl w:val="0"/>
          <w:numId w:val="5"/>
        </w:numPr>
      </w:pPr>
      <w:proofErr w:type="gramStart"/>
      <w:r w:rsidRPr="003D752C">
        <w:t>les</w:t>
      </w:r>
      <w:proofErr w:type="gramEnd"/>
      <w:r w:rsidRPr="003D752C">
        <w:t xml:space="preserve"> séances de clavardage en groupe</w:t>
      </w:r>
      <w:r w:rsidR="001A754A" w:rsidRPr="003D752C">
        <w:t>;</w:t>
      </w:r>
    </w:p>
    <w:p w14:paraId="2A0B0C73" w14:textId="22C8155B" w:rsidR="003449AE" w:rsidRPr="003D752C" w:rsidRDefault="00695567" w:rsidP="001508D0">
      <w:pPr>
        <w:pStyle w:val="ListParagraph"/>
        <w:numPr>
          <w:ilvl w:val="0"/>
          <w:numId w:val="5"/>
        </w:numPr>
      </w:pPr>
      <w:proofErr w:type="gramStart"/>
      <w:r w:rsidRPr="003D752C">
        <w:t>les</w:t>
      </w:r>
      <w:proofErr w:type="gramEnd"/>
      <w:r w:rsidRPr="003D752C">
        <w:t xml:space="preserve"> vidéos;</w:t>
      </w:r>
    </w:p>
    <w:p w14:paraId="738A7F33" w14:textId="5FB88563" w:rsidR="00CE2E42" w:rsidRPr="003D752C" w:rsidRDefault="00695567" w:rsidP="001508D0">
      <w:pPr>
        <w:pStyle w:val="ListParagraph"/>
        <w:numPr>
          <w:ilvl w:val="0"/>
          <w:numId w:val="5"/>
        </w:numPr>
      </w:pPr>
      <w:proofErr w:type="gramStart"/>
      <w:r w:rsidRPr="003D752C">
        <w:t>les</w:t>
      </w:r>
      <w:proofErr w:type="gramEnd"/>
      <w:r w:rsidRPr="003D752C">
        <w:t xml:space="preserve"> services de technologie de l</w:t>
      </w:r>
      <w:r w:rsidR="00FE6A95" w:rsidRPr="003D752C">
        <w:t>’</w:t>
      </w:r>
      <w:r w:rsidRPr="003D752C">
        <w:t>information</w:t>
      </w:r>
      <w:bookmarkStart w:id="7" w:name="_Toc208490739"/>
      <w:r w:rsidR="001A754A" w:rsidRPr="003D752C">
        <w:t>.</w:t>
      </w:r>
    </w:p>
    <w:p w14:paraId="48114263" w14:textId="4351604E" w:rsidR="00511189" w:rsidRPr="003D752C" w:rsidRDefault="00504DB1" w:rsidP="003D752C">
      <w:r w:rsidRPr="003D752C">
        <w:t>Si le propriétaire fonctionnel n</w:t>
      </w:r>
      <w:r w:rsidR="00FE6A95" w:rsidRPr="003D752C">
        <w:t>’</w:t>
      </w:r>
      <w:r w:rsidRPr="003D752C">
        <w:t>est pas sûr qu</w:t>
      </w:r>
      <w:r w:rsidR="00FE6A95" w:rsidRPr="003D752C">
        <w:t>’</w:t>
      </w:r>
      <w:r w:rsidRPr="003D752C">
        <w:t>il s</w:t>
      </w:r>
      <w:r w:rsidR="00FE6A95" w:rsidRPr="003D752C">
        <w:t>’</w:t>
      </w:r>
      <w:r w:rsidRPr="003D752C">
        <w:t>agisse d</w:t>
      </w:r>
      <w:r w:rsidR="00FE6A95" w:rsidRPr="003D752C">
        <w:t>’</w:t>
      </w:r>
      <w:r w:rsidRPr="003D752C">
        <w:t>une TIC, il devrait se demander :</w:t>
      </w:r>
    </w:p>
    <w:p w14:paraId="12EAB0AF" w14:textId="696A9288" w:rsidR="00511189" w:rsidRPr="003D752C" w:rsidRDefault="00504DB1" w:rsidP="001508D0">
      <w:pPr>
        <w:pStyle w:val="ListParagraph"/>
        <w:numPr>
          <w:ilvl w:val="0"/>
          <w:numId w:val="6"/>
        </w:numPr>
      </w:pPr>
      <w:r w:rsidRPr="003D752C">
        <w:t>Est-ce numérique</w:t>
      </w:r>
      <w:r w:rsidR="003D49D0" w:rsidRPr="003D752C">
        <w:t>?</w:t>
      </w:r>
    </w:p>
    <w:p w14:paraId="369A1207" w14:textId="269FCDA0" w:rsidR="00511189" w:rsidRPr="003D752C" w:rsidRDefault="00504DB1" w:rsidP="001508D0">
      <w:pPr>
        <w:pStyle w:val="ListParagraph"/>
        <w:numPr>
          <w:ilvl w:val="0"/>
          <w:numId w:val="6"/>
        </w:numPr>
      </w:pPr>
      <w:r w:rsidRPr="003D752C">
        <w:t>Quelqu</w:t>
      </w:r>
      <w:r w:rsidR="00FE6A95" w:rsidRPr="003D752C">
        <w:t>’</w:t>
      </w:r>
      <w:r w:rsidRPr="003D752C">
        <w:t>un interagit-il avec</w:t>
      </w:r>
      <w:r w:rsidR="003D49D0" w:rsidRPr="003D752C">
        <w:t>?</w:t>
      </w:r>
    </w:p>
    <w:p w14:paraId="0B12142E" w14:textId="6AFF8A36" w:rsidR="003D49D0" w:rsidRPr="003D752C" w:rsidRDefault="00504DB1" w:rsidP="003D752C">
      <w:r w:rsidRPr="003D752C">
        <w:t xml:space="preserve">Si la réponse à ces </w:t>
      </w:r>
      <w:r w:rsidRPr="00313146">
        <w:rPr>
          <w:rStyle w:val="Strong"/>
        </w:rPr>
        <w:t>deux</w:t>
      </w:r>
      <w:r w:rsidR="003D49D0" w:rsidRPr="003D752C">
        <w:t xml:space="preserve"> </w:t>
      </w:r>
      <w:r w:rsidR="001F47ED" w:rsidRPr="003D752C">
        <w:t xml:space="preserve">questions </w:t>
      </w:r>
      <w:r w:rsidRPr="003D752C">
        <w:t xml:space="preserve">est « oui », la norme </w:t>
      </w:r>
      <w:r w:rsidR="001F47ED" w:rsidRPr="003D752C">
        <w:t xml:space="preserve">EN 301 549 (2021) </w:t>
      </w:r>
      <w:r w:rsidRPr="003D752C">
        <w:t>s</w:t>
      </w:r>
      <w:r w:rsidR="00FE6A95" w:rsidRPr="003D752C">
        <w:t>’</w:t>
      </w:r>
      <w:r w:rsidRPr="003D752C">
        <w:t>applique alors probablement à l</w:t>
      </w:r>
      <w:r w:rsidR="00FE6A95" w:rsidRPr="003D752C">
        <w:t>’</w:t>
      </w:r>
      <w:r w:rsidRPr="003D752C">
        <w:t>approvisionnement</w:t>
      </w:r>
      <w:r w:rsidR="00962E09" w:rsidRPr="003D752C">
        <w:t>.</w:t>
      </w:r>
    </w:p>
    <w:p w14:paraId="49D712D8" w14:textId="27374F29" w:rsidR="00F06BC0" w:rsidRPr="003D752C" w:rsidRDefault="00F06BC0" w:rsidP="003D752C">
      <w:r w:rsidRPr="003D752C">
        <w:t xml:space="preserve">Le </w:t>
      </w:r>
      <w:r w:rsidRPr="00313146">
        <w:rPr>
          <w:rStyle w:val="Strong"/>
        </w:rPr>
        <w:t>type</w:t>
      </w:r>
      <w:r w:rsidRPr="003D752C">
        <w:t xml:space="preserve"> et la </w:t>
      </w:r>
      <w:r w:rsidRPr="00313146">
        <w:rPr>
          <w:rStyle w:val="Strong"/>
        </w:rPr>
        <w:t>fonctionnalité</w:t>
      </w:r>
      <w:r w:rsidRPr="003D752C">
        <w:t xml:space="preserve"> des biens ou services TIC achetés par le GC déterminent la méthode de fourniture et les exigences d</w:t>
      </w:r>
      <w:r w:rsidR="00FE6A95" w:rsidRPr="003D752C">
        <w:t>’</w:t>
      </w:r>
      <w:r w:rsidRPr="003D752C">
        <w:t>accessibilité que vous devrez inclure dans la demande de soumissions, y compris la grille d</w:t>
      </w:r>
      <w:r w:rsidR="00FE6A95" w:rsidRPr="003D752C">
        <w:t>’</w:t>
      </w:r>
      <w:r w:rsidRPr="003D752C">
        <w:t>évaluation. Cela s</w:t>
      </w:r>
      <w:r w:rsidR="00FE6A95" w:rsidRPr="003D752C">
        <w:t>’</w:t>
      </w:r>
      <w:r w:rsidRPr="003D752C">
        <w:t>applique également à l</w:t>
      </w:r>
      <w:r w:rsidR="00FE6A95" w:rsidRPr="003D752C">
        <w:t>’</w:t>
      </w:r>
      <w:r w:rsidRPr="003D752C">
        <w:t>achat d</w:t>
      </w:r>
      <w:r w:rsidR="00FE6A95" w:rsidRPr="003D752C">
        <w:t>’</w:t>
      </w:r>
      <w:r w:rsidRPr="003D752C">
        <w:t>un bien ou d</w:t>
      </w:r>
      <w:r w:rsidR="00FE6A95" w:rsidRPr="003D752C">
        <w:t>’</w:t>
      </w:r>
      <w:r w:rsidRPr="003D752C">
        <w:t>un service qui n</w:t>
      </w:r>
      <w:r w:rsidR="00FE6A95" w:rsidRPr="003D752C">
        <w:t>’</w:t>
      </w:r>
      <w:r w:rsidRPr="003D752C">
        <w:t>est pas en soi une TIC, mais que les TIC prendront en charge.</w:t>
      </w:r>
    </w:p>
    <w:p w14:paraId="1B078D2F" w14:textId="1DD8036C" w:rsidR="00645577" w:rsidRPr="003D752C" w:rsidRDefault="00F06BC0" w:rsidP="003D752C">
      <w:pPr>
        <w:pStyle w:val="Heading2"/>
      </w:pPr>
      <w:bookmarkStart w:id="8" w:name="_Toc187907162"/>
      <w:r w:rsidRPr="003D752C">
        <w:t>Normes d</w:t>
      </w:r>
      <w:r w:rsidR="00FE6A95" w:rsidRPr="003D752C">
        <w:t>’</w:t>
      </w:r>
      <w:r w:rsidRPr="003D752C">
        <w:t xml:space="preserve">accessibilité </w:t>
      </w:r>
      <w:r w:rsidR="00645577" w:rsidRPr="003D752C">
        <w:t xml:space="preserve">Canada </w:t>
      </w:r>
      <w:r w:rsidR="00B902EB" w:rsidRPr="003D752C">
        <w:t>adopt</w:t>
      </w:r>
      <w:r w:rsidRPr="003D752C">
        <w:t>e</w:t>
      </w:r>
      <w:r w:rsidR="00645577" w:rsidRPr="003D752C">
        <w:t xml:space="preserve"> </w:t>
      </w:r>
      <w:r w:rsidRPr="003D752C">
        <w:t xml:space="preserve">la norme </w:t>
      </w:r>
      <w:r w:rsidR="00645577" w:rsidRPr="003D752C">
        <w:t>the E</w:t>
      </w:r>
      <w:r w:rsidR="00082B5B" w:rsidRPr="003D752C">
        <w:t>N</w:t>
      </w:r>
      <w:r w:rsidR="00645577" w:rsidRPr="003D752C">
        <w:t xml:space="preserve"> 301 549</w:t>
      </w:r>
      <w:bookmarkEnd w:id="8"/>
    </w:p>
    <w:p w14:paraId="7CBCC6F8" w14:textId="07267B2A" w:rsidR="00645577" w:rsidRDefault="00F06BC0" w:rsidP="00BB2E22">
      <w:hyperlink r:id="rId19" w:history="1">
        <w:r w:rsidRPr="00313146">
          <w:rPr>
            <w:rStyle w:val="Hyperlink"/>
          </w:rPr>
          <w:t>Normes d</w:t>
        </w:r>
        <w:r w:rsidR="00FE6A95" w:rsidRPr="00313146">
          <w:rPr>
            <w:rStyle w:val="Hyperlink"/>
          </w:rPr>
          <w:t>’</w:t>
        </w:r>
        <w:r w:rsidRPr="00313146">
          <w:rPr>
            <w:rStyle w:val="Hyperlink"/>
          </w:rPr>
          <w:t>accessibilité Canada</w:t>
        </w:r>
      </w:hyperlink>
      <w:r w:rsidR="00645577" w:rsidRPr="00313146">
        <w:t xml:space="preserve"> </w:t>
      </w:r>
      <w:r w:rsidRPr="00313146">
        <w:t xml:space="preserve">a adopté la norme « CAN/ASC </w:t>
      </w:r>
      <w:r w:rsidR="00FE6A95" w:rsidRPr="00313146">
        <w:t xml:space="preserve">– </w:t>
      </w:r>
      <w:r w:rsidRPr="00313146">
        <w:t>EN 301 549:2024 Exigences d</w:t>
      </w:r>
      <w:r w:rsidR="00FE6A95" w:rsidRPr="00313146">
        <w:t>’</w:t>
      </w:r>
      <w:r w:rsidRPr="00313146">
        <w:t>accessibilité pour les produits et services TIC (EN 301 549:2021, IDT) en tant que norme nationale du Canada publiée</w:t>
      </w:r>
      <w:r w:rsidR="00645577" w:rsidRPr="00313146">
        <w:t>.</w:t>
      </w:r>
      <w:r w:rsidRPr="00BB2E22">
        <w:t xml:space="preserve"> </w:t>
      </w:r>
      <w:r w:rsidRPr="00313146">
        <w:t xml:space="preserve">En tant que norme officielle du gouvernement du Canada, elle est approuvée pour être utilisée dans tout le </w:t>
      </w:r>
      <w:proofErr w:type="gramStart"/>
      <w:r w:rsidRPr="00313146">
        <w:t>pays.</w:t>
      </w:r>
      <w:r w:rsidR="00B81FC8" w:rsidRPr="00B81FC8">
        <w:t xml:space="preserve"> </w:t>
      </w:r>
      <w:r w:rsidR="00B81FC8" w:rsidRPr="00CE1415">
        <w:t> »</w:t>
      </w:r>
      <w:proofErr w:type="gramEnd"/>
      <w:r w:rsidR="00B81FC8" w:rsidRPr="00CE1415">
        <w:t xml:space="preserve"> </w:t>
      </w:r>
      <w:r w:rsidRPr="00313146">
        <w:t>Cette norme n</w:t>
      </w:r>
      <w:r w:rsidR="00FE6A95" w:rsidRPr="00313146">
        <w:t>’</w:t>
      </w:r>
      <w:r w:rsidRPr="00313146">
        <w:t>est pas encore obligatoire pour le GC.</w:t>
      </w:r>
    </w:p>
    <w:p w14:paraId="5F79FD0A" w14:textId="77777777" w:rsidR="0015462C" w:rsidRPr="00BB2E22" w:rsidRDefault="0015462C" w:rsidP="0015462C">
      <w:pPr>
        <w:pStyle w:val="Heading2"/>
      </w:pPr>
      <w:bookmarkStart w:id="9" w:name="_Toc187907163"/>
      <w:r w:rsidRPr="00BB2E22">
        <w:t>Utilisez la norme EN 301 549 (2021) plutôt que seulement n’importe quelle version des Règles pour l’accessibilité des contenus Web (WCAG)</w:t>
      </w:r>
      <w:bookmarkEnd w:id="9"/>
    </w:p>
    <w:p w14:paraId="65ED60AB" w14:textId="77777777" w:rsidR="0015462C" w:rsidRPr="00BB2E22" w:rsidRDefault="0015462C" w:rsidP="0015462C">
      <w:r w:rsidRPr="00BB2E22">
        <w:t xml:space="preserve">Bien que la </w:t>
      </w:r>
      <w:hyperlink r:id="rId20" w:history="1">
        <w:r w:rsidRPr="00BB2E22">
          <w:rPr>
            <w:rStyle w:val="Hyperlink"/>
          </w:rPr>
          <w:t>Norme sur l’accessibilité des sites Web</w:t>
        </w:r>
      </w:hyperlink>
      <w:r w:rsidRPr="00BB2E22">
        <w:t xml:space="preserve"> exige que chaque </w:t>
      </w:r>
      <w:hyperlink r:id="rId21" w:anchor="pageweb" w:tooltip="Web page: definition" w:history="1">
        <w:r w:rsidRPr="00BB2E22">
          <w:rPr>
            <w:rStyle w:val="Hyperlink"/>
          </w:rPr>
          <w:t>page Web</w:t>
        </w:r>
      </w:hyperlink>
      <w:r w:rsidRPr="00BB2E22">
        <w:t xml:space="preserve"> du gouvernement qui s’adresse au public respecte les cinq </w:t>
      </w:r>
      <w:hyperlink r:id="rId22" w:anchor="conformance-reqs" w:history="1">
        <w:r w:rsidRPr="00BB2E22">
          <w:rPr>
            <w:rStyle w:val="Hyperlink"/>
          </w:rPr>
          <w:t xml:space="preserve">exigences de conformité aux </w:t>
        </w:r>
        <w:r w:rsidRPr="00BB2E22">
          <w:rPr>
            <w:rStyle w:val="Hyperlink"/>
          </w:rPr>
          <w:lastRenderedPageBreak/>
          <w:t>WCAG 2.0</w:t>
        </w:r>
      </w:hyperlink>
      <w:r w:rsidRPr="00BB2E22">
        <w:t xml:space="preserve">, le Secrétariat du Conseil du Trésor du Canada (SCT) examine actuellement la Norme sur l’accessibilité des sites Web et recommande aux organisations : </w:t>
      </w:r>
    </w:p>
    <w:p w14:paraId="5EA264F9" w14:textId="15701976" w:rsidR="0015462C" w:rsidRPr="00BB2E22" w:rsidRDefault="0015462C" w:rsidP="001508D0">
      <w:pPr>
        <w:pStyle w:val="ListParagraph"/>
        <w:numPr>
          <w:ilvl w:val="0"/>
          <w:numId w:val="7"/>
        </w:numPr>
      </w:pPr>
      <w:proofErr w:type="gramStart"/>
      <w:r w:rsidRPr="00D43D11">
        <w:t>d’adopter</w:t>
      </w:r>
      <w:proofErr w:type="gramEnd"/>
      <w:r w:rsidRPr="00D43D11">
        <w:t xml:space="preserve"> la norme CAN/ASC (</w:t>
      </w:r>
      <w:hyperlink r:id="rId23" w:history="1">
        <w:r w:rsidR="00D43D11">
          <w:rPr>
            <w:rStyle w:val="Hyperlink"/>
          </w:rPr>
          <w:t>EN 301 549 (en anglais seulement)</w:t>
        </w:r>
      </w:hyperlink>
      <w:r w:rsidRPr="00313146">
        <w:t>);</w:t>
      </w:r>
    </w:p>
    <w:p w14:paraId="17089108" w14:textId="77777777" w:rsidR="0015462C" w:rsidRPr="00BB2E22" w:rsidRDefault="0015462C" w:rsidP="001508D0">
      <w:pPr>
        <w:pStyle w:val="ListParagraph"/>
        <w:numPr>
          <w:ilvl w:val="0"/>
          <w:numId w:val="7"/>
        </w:numPr>
      </w:pPr>
      <w:proofErr w:type="gramStart"/>
      <w:r w:rsidRPr="00BB2E22">
        <w:t>de</w:t>
      </w:r>
      <w:proofErr w:type="gramEnd"/>
      <w:r w:rsidRPr="00BB2E22">
        <w:t xml:space="preserve"> suivre l’orientation de la </w:t>
      </w:r>
      <w:hyperlink r:id="rId24" w:history="1">
        <w:r w:rsidRPr="00BB2E22">
          <w:rPr>
            <w:rStyle w:val="Hyperlink"/>
          </w:rPr>
          <w:t>Ligne directrice sur l’utilisabilité de la technologie de l’information (TI) par tous</w:t>
        </w:r>
      </w:hyperlink>
      <w:r w:rsidRPr="00313146">
        <w:t>.</w:t>
      </w:r>
    </w:p>
    <w:p w14:paraId="3EB09AF3" w14:textId="77777777" w:rsidR="0015462C" w:rsidRPr="00BB2E22" w:rsidRDefault="0015462C" w:rsidP="0015462C">
      <w:r w:rsidRPr="00AB5A6A">
        <w:rPr>
          <w:rStyle w:val="Strong"/>
          <w:b w:val="0"/>
          <w:bCs w:val="0"/>
        </w:rPr>
        <w:t>Remarque</w:t>
      </w:r>
      <w:r w:rsidRPr="00BB2E22">
        <w:rPr>
          <w:rStyle w:val="Strong"/>
        </w:rPr>
        <w:t> :</w:t>
      </w:r>
      <w:r w:rsidRPr="00BB2E22">
        <w:t xml:space="preserve"> La norme EN 301 549 (2021) est plus inclusive et dépasse le minimum requis par la Norme sur l’accessibilité des sites Web. Par exemple, la norme EN 501 349 (2021) comprend :</w:t>
      </w:r>
    </w:p>
    <w:p w14:paraId="18353B37" w14:textId="77777777" w:rsidR="0015462C" w:rsidRPr="00BB2E22" w:rsidRDefault="0015462C" w:rsidP="001508D0">
      <w:pPr>
        <w:pStyle w:val="ListParagraph"/>
        <w:numPr>
          <w:ilvl w:val="0"/>
          <w:numId w:val="8"/>
        </w:numPr>
      </w:pPr>
      <w:proofErr w:type="gramStart"/>
      <w:r w:rsidRPr="00BB2E22">
        <w:t>les</w:t>
      </w:r>
      <w:proofErr w:type="gramEnd"/>
      <w:r w:rsidRPr="00BB2E22">
        <w:t xml:space="preserve"> WCAG 2.1 pour le Web, les logiciels natifs et les documents non destinés au Web;</w:t>
      </w:r>
    </w:p>
    <w:p w14:paraId="4D2D65C7" w14:textId="77777777" w:rsidR="0015462C" w:rsidRPr="00BB2E22" w:rsidRDefault="0015462C" w:rsidP="001508D0">
      <w:pPr>
        <w:pStyle w:val="ListParagraph"/>
        <w:numPr>
          <w:ilvl w:val="0"/>
          <w:numId w:val="8"/>
        </w:numPr>
      </w:pPr>
      <w:proofErr w:type="gramStart"/>
      <w:r w:rsidRPr="00BB2E22">
        <w:t>des</w:t>
      </w:r>
      <w:proofErr w:type="gramEnd"/>
      <w:r w:rsidRPr="00BB2E22">
        <w:t xml:space="preserve"> exigences supplémentaires pour le matériel, les outils-auteurs, les services de soutien, et plus encore.</w:t>
      </w:r>
    </w:p>
    <w:p w14:paraId="61A650FE" w14:textId="77777777" w:rsidR="0015462C" w:rsidRPr="00BB2E22" w:rsidRDefault="0015462C" w:rsidP="0015462C">
      <w:r w:rsidRPr="00BB2E22">
        <w:t>Les progrès constants de la technologie obligent le GC à utiliser une norme plus large pour l’accessibilité des TIC. C’est pourquoi ce guide recommande aux propriétaires fonctionnels :</w:t>
      </w:r>
    </w:p>
    <w:p w14:paraId="447E07F9" w14:textId="77777777" w:rsidR="0015462C" w:rsidRPr="00BB2E22" w:rsidRDefault="0015462C" w:rsidP="001508D0">
      <w:pPr>
        <w:pStyle w:val="ListParagraph"/>
        <w:numPr>
          <w:ilvl w:val="0"/>
          <w:numId w:val="9"/>
        </w:numPr>
      </w:pPr>
      <w:proofErr w:type="gramStart"/>
      <w:r w:rsidRPr="00BB2E22">
        <w:t>de</w:t>
      </w:r>
      <w:proofErr w:type="gramEnd"/>
      <w:r w:rsidRPr="00BB2E22">
        <w:t xml:space="preserve"> mettre en œuvre la norme EN 301 549 (2021) jusqu’à ce qu’une norme EN 301 549 mise à jour soit publiée et qu’une directive indique de passer à la prochaine version;</w:t>
      </w:r>
    </w:p>
    <w:p w14:paraId="3204C448" w14:textId="77777777" w:rsidR="0015462C" w:rsidRPr="00BB2E22" w:rsidRDefault="0015462C" w:rsidP="001508D0">
      <w:pPr>
        <w:pStyle w:val="ListParagraph"/>
        <w:numPr>
          <w:ilvl w:val="0"/>
          <w:numId w:val="9"/>
        </w:numPr>
      </w:pPr>
      <w:proofErr w:type="gramStart"/>
      <w:r w:rsidRPr="00BB2E22">
        <w:t>de</w:t>
      </w:r>
      <w:proofErr w:type="gramEnd"/>
      <w:r w:rsidRPr="00BB2E22">
        <w:t xml:space="preserve"> ne pas utiliser seulement une version quelconque des WCAG, mais d’utiliser plutôt la norme EN 301 549 (2021) qui comprend les WCAG 2.1; </w:t>
      </w:r>
    </w:p>
    <w:p w14:paraId="7BEADC6A" w14:textId="7B8CA77C" w:rsidR="0015462C" w:rsidRPr="00BB2E22" w:rsidRDefault="0015462C" w:rsidP="001508D0">
      <w:pPr>
        <w:pStyle w:val="ListParagraph"/>
        <w:numPr>
          <w:ilvl w:val="0"/>
          <w:numId w:val="9"/>
        </w:numPr>
      </w:pPr>
      <w:proofErr w:type="gramStart"/>
      <w:r w:rsidRPr="00BB2E22">
        <w:t>d’utiliser</w:t>
      </w:r>
      <w:proofErr w:type="gramEnd"/>
      <w:r w:rsidRPr="00BB2E22">
        <w:t xml:space="preserve"> la norme EN 301 549 (2021) et les </w:t>
      </w:r>
      <w:hyperlink r:id="rId25" w:history="1">
        <w:r w:rsidR="00D43D11">
          <w:rPr>
            <w:rStyle w:val="Hyperlink"/>
          </w:rPr>
          <w:t>WCAG 2.2 (en anglais seulement)</w:t>
        </w:r>
      </w:hyperlink>
      <w:r w:rsidRPr="00BB2E22">
        <w:t>.</w:t>
      </w:r>
    </w:p>
    <w:p w14:paraId="7C16BBAD" w14:textId="77777777" w:rsidR="0015462C" w:rsidRPr="00BB2E22" w:rsidRDefault="0015462C" w:rsidP="0015462C">
      <w:pPr>
        <w:pStyle w:val="Heading2"/>
      </w:pPr>
      <w:bookmarkStart w:id="10" w:name="_Toc187907164"/>
      <w:r w:rsidRPr="00BB2E22">
        <w:t>Intégrez la norme EN 301 549 (2021) en tant que pratique exemplaire</w:t>
      </w:r>
      <w:bookmarkEnd w:id="10"/>
    </w:p>
    <w:p w14:paraId="0F2ACEB7" w14:textId="77777777" w:rsidR="0015462C" w:rsidRPr="00BB2E22" w:rsidRDefault="0015462C" w:rsidP="0015462C">
      <w:r w:rsidRPr="00BB2E22">
        <w:t xml:space="preserve">Nous recommandons également aux propriétaires fonctionnels d’inclure toutes les exigences d’accessibilité des TIC pertinentes de la norme EN 301 549 (2021) dans les approvisionnements liés aux TIC. Cela comprend les offres à commandes et les commandes subséquentes, les arrangements en matière d'approvisionnement et les </w:t>
      </w:r>
      <w:r>
        <w:t>contrats</w:t>
      </w:r>
      <w:r w:rsidRPr="00BB2E22">
        <w:t xml:space="preserve">, les contrats et </w:t>
      </w:r>
      <w:proofErr w:type="gramStart"/>
      <w:r w:rsidRPr="00BB2E22">
        <w:t>les autorisation</w:t>
      </w:r>
      <w:proofErr w:type="gramEnd"/>
      <w:r w:rsidRPr="00BB2E22">
        <w:t xml:space="preserve"> de tâches. L’inclusion des exigences d’accessibilité des TIC permet de s’assurer que :</w:t>
      </w:r>
    </w:p>
    <w:p w14:paraId="7849077C" w14:textId="77777777" w:rsidR="0015462C" w:rsidRPr="00BB2E22" w:rsidRDefault="0015462C" w:rsidP="001508D0">
      <w:pPr>
        <w:pStyle w:val="ListParagraph"/>
        <w:numPr>
          <w:ilvl w:val="0"/>
          <w:numId w:val="10"/>
        </w:numPr>
      </w:pPr>
      <w:proofErr w:type="gramStart"/>
      <w:r w:rsidRPr="00BB2E22">
        <w:t>l’approvisionnement</w:t>
      </w:r>
      <w:proofErr w:type="gramEnd"/>
      <w:r w:rsidRPr="00BB2E22">
        <w:t xml:space="preserve"> est rentable en évitant :</w:t>
      </w:r>
    </w:p>
    <w:p w14:paraId="24B12B6A" w14:textId="77777777" w:rsidR="0015462C" w:rsidRPr="00BB2E22" w:rsidRDefault="0015462C" w:rsidP="001508D0">
      <w:pPr>
        <w:pStyle w:val="ListParagraph"/>
        <w:numPr>
          <w:ilvl w:val="1"/>
          <w:numId w:val="10"/>
        </w:numPr>
      </w:pPr>
      <w:proofErr w:type="gramStart"/>
      <w:r w:rsidRPr="00BB2E22">
        <w:lastRenderedPageBreak/>
        <w:t>d’engager</w:t>
      </w:r>
      <w:proofErr w:type="gramEnd"/>
      <w:r w:rsidRPr="00BB2E22">
        <w:t xml:space="preserve"> des coûts supplémentaires pour corriger les TIC parce que l’accessibilité des TIC n’a pas été prise en compte dans l’approvisionnement initial; ou </w:t>
      </w:r>
    </w:p>
    <w:p w14:paraId="3BDB55A7" w14:textId="77777777" w:rsidR="0015462C" w:rsidRPr="00BB2E22" w:rsidRDefault="0015462C" w:rsidP="001508D0">
      <w:pPr>
        <w:pStyle w:val="ListParagraph"/>
        <w:numPr>
          <w:ilvl w:val="1"/>
          <w:numId w:val="10"/>
        </w:numPr>
      </w:pPr>
      <w:proofErr w:type="gramStart"/>
      <w:r w:rsidRPr="00BB2E22">
        <w:t>de</w:t>
      </w:r>
      <w:proofErr w:type="gramEnd"/>
      <w:r w:rsidRPr="00BB2E22">
        <w:t xml:space="preserve"> se réapprovisionner en solution accessible.</w:t>
      </w:r>
    </w:p>
    <w:p w14:paraId="6871C0D5" w14:textId="77777777" w:rsidR="0015462C" w:rsidRPr="00BB2E22" w:rsidRDefault="0015462C" w:rsidP="001508D0">
      <w:pPr>
        <w:pStyle w:val="ListParagraph"/>
        <w:numPr>
          <w:ilvl w:val="0"/>
          <w:numId w:val="10"/>
        </w:numPr>
      </w:pPr>
      <w:proofErr w:type="gramStart"/>
      <w:r w:rsidRPr="00BB2E22">
        <w:t>les</w:t>
      </w:r>
      <w:proofErr w:type="gramEnd"/>
      <w:r w:rsidRPr="00BB2E22">
        <w:t xml:space="preserve"> biens et services ont une conception inclusive et sont accessibles par défaut.</w:t>
      </w:r>
    </w:p>
    <w:p w14:paraId="4CBE915A" w14:textId="5C86BCED" w:rsidR="0015462C" w:rsidRDefault="0015462C" w:rsidP="00BB2E22">
      <w:r w:rsidRPr="00BB2E22">
        <w:t xml:space="preserve">Consultez </w:t>
      </w:r>
      <w:hyperlink w:anchor="_Where_to_find" w:history="1">
        <w:r w:rsidRPr="00BB2E22">
          <w:rPr>
            <w:rStyle w:val="Hyperlink"/>
          </w:rPr>
          <w:t>Où trouver de l’aide et des ressources</w:t>
        </w:r>
      </w:hyperlink>
      <w:r w:rsidRPr="00BB2E22">
        <w:t xml:space="preserve"> pour de l’aide.</w:t>
      </w:r>
    </w:p>
    <w:p w14:paraId="40B8D3D7" w14:textId="77777777" w:rsidR="0015462C" w:rsidRPr="00BB2E22" w:rsidRDefault="0015462C" w:rsidP="0015462C">
      <w:pPr>
        <w:pStyle w:val="Heading2"/>
      </w:pPr>
      <w:bookmarkStart w:id="11" w:name="_Toc201119456"/>
      <w:bookmarkStart w:id="12" w:name="_Toc208490740"/>
      <w:bookmarkStart w:id="13" w:name="_Toc187907165"/>
      <w:r w:rsidRPr="00BB2E22">
        <w:t>R</w:t>
      </w:r>
      <w:bookmarkEnd w:id="11"/>
      <w:bookmarkEnd w:id="12"/>
      <w:r w:rsidRPr="00BB2E22">
        <w:t>ôles et responsabilités</w:t>
      </w:r>
      <w:bookmarkEnd w:id="13"/>
    </w:p>
    <w:p w14:paraId="0DA3AE9C" w14:textId="77777777" w:rsidR="0015462C" w:rsidRPr="00BB2E22" w:rsidRDefault="0015462C" w:rsidP="0015462C">
      <w:r w:rsidRPr="00BB2E22">
        <w:t xml:space="preserve">Consultez la </w:t>
      </w:r>
      <w:hyperlink r:id="rId26" w:history="1">
        <w:r w:rsidRPr="00BB2E22">
          <w:rPr>
            <w:rStyle w:val="Hyperlink"/>
          </w:rPr>
          <w:t>Directive sur la gestion de l’approvisionnement – Canada.ca</w:t>
        </w:r>
      </w:hyperlink>
      <w:r w:rsidRPr="00BB2E22">
        <w:t xml:space="preserve"> pour en savoir plus sur les rôles et responsabilités du propriétaire fonctionnel (responsables techniques ou clients) et de l’autorité contractante</w:t>
      </w:r>
      <w:r w:rsidRPr="00313146">
        <w:t>.</w:t>
      </w:r>
    </w:p>
    <w:p w14:paraId="5B6E3F6E" w14:textId="77777777" w:rsidR="0015462C" w:rsidRPr="00BB2E22" w:rsidRDefault="0015462C" w:rsidP="0015462C">
      <w:pPr>
        <w:pStyle w:val="Heading2"/>
      </w:pPr>
      <w:bookmarkStart w:id="14" w:name="_Toc187907166"/>
      <w:r w:rsidRPr="00BB2E22">
        <w:t>Ministères et organismes</w:t>
      </w:r>
      <w:bookmarkEnd w:id="14"/>
    </w:p>
    <w:p w14:paraId="2F8457F9" w14:textId="77777777" w:rsidR="0015462C" w:rsidRPr="00BB2E22" w:rsidRDefault="0015462C" w:rsidP="0015462C">
      <w:r w:rsidRPr="00BB2E22">
        <w:t>Pour tous les approvisionnements liés aux TIC qui :</w:t>
      </w:r>
    </w:p>
    <w:p w14:paraId="032FAC59" w14:textId="77777777" w:rsidR="0015462C" w:rsidRPr="00BB2E22" w:rsidRDefault="0015462C" w:rsidP="001508D0">
      <w:pPr>
        <w:pStyle w:val="ListParagraph"/>
        <w:numPr>
          <w:ilvl w:val="0"/>
          <w:numId w:val="11"/>
        </w:numPr>
      </w:pPr>
      <w:proofErr w:type="gramStart"/>
      <w:r w:rsidRPr="00BB2E22">
        <w:t>ne</w:t>
      </w:r>
      <w:proofErr w:type="gramEnd"/>
      <w:r w:rsidRPr="00BB2E22">
        <w:t xml:space="preserve"> comprennent pas d’exigences d’accessibilité; ou</w:t>
      </w:r>
    </w:p>
    <w:p w14:paraId="56F39158" w14:textId="77777777" w:rsidR="0015462C" w:rsidRPr="00BB2E22" w:rsidRDefault="0015462C" w:rsidP="001508D0">
      <w:pPr>
        <w:pStyle w:val="ListParagraph"/>
        <w:numPr>
          <w:ilvl w:val="0"/>
          <w:numId w:val="11"/>
        </w:numPr>
      </w:pPr>
      <w:proofErr w:type="gramStart"/>
      <w:r w:rsidRPr="00BB2E22">
        <w:t>comprennent</w:t>
      </w:r>
      <w:proofErr w:type="gramEnd"/>
      <w:r w:rsidRPr="00BB2E22">
        <w:t xml:space="preserve"> une approche par étapes vers la conformité de l’accessibilité des TIC (c.-à-d. un plan de correction ou une feuille de route),</w:t>
      </w:r>
    </w:p>
    <w:p w14:paraId="5E570910" w14:textId="1B9F3992" w:rsidR="0015462C" w:rsidRPr="00313146" w:rsidRDefault="0015462C" w:rsidP="00BB2E22">
      <w:proofErr w:type="gramStart"/>
      <w:r w:rsidRPr="00BB2E22">
        <w:t>les</w:t>
      </w:r>
      <w:proofErr w:type="gramEnd"/>
      <w:r w:rsidRPr="00BB2E22">
        <w:t xml:space="preserve"> ministères et organismes sont fortement encouragés à obtenir l’approbation de la justification auprès d’une autorité compétente (p. ex., la haute direction, l’article 32, etc.).</w:t>
      </w:r>
    </w:p>
    <w:p w14:paraId="4A31686B" w14:textId="77777777" w:rsidR="00766FFF" w:rsidRPr="00BB2E22" w:rsidRDefault="00766FFF" w:rsidP="00766FFF">
      <w:pPr>
        <w:pStyle w:val="Heading1"/>
      </w:pPr>
      <w:bookmarkStart w:id="15" w:name="_Toc187907167"/>
      <w:r w:rsidRPr="00BB2E22">
        <w:t>Le résumé du processus doit inclure les exigences d’accessibilité dans les approvisionnements liés aux TIC</w:t>
      </w:r>
      <w:bookmarkEnd w:id="15"/>
    </w:p>
    <w:p w14:paraId="647FB68C" w14:textId="77777777" w:rsidR="00766FFF" w:rsidRPr="00BB2E22" w:rsidRDefault="00766FFF" w:rsidP="00766FFF">
      <w:pPr>
        <w:pStyle w:val="Heading2"/>
      </w:pPr>
      <w:bookmarkStart w:id="16" w:name="_Toc187907168"/>
      <w:r w:rsidRPr="00BB2E22">
        <w:t>On encourage fortement les propriétaires fonctionnels à :</w:t>
      </w:r>
      <w:bookmarkEnd w:id="16"/>
    </w:p>
    <w:p w14:paraId="128B055C" w14:textId="77777777" w:rsidR="00766FFF" w:rsidRPr="00BB2E22" w:rsidRDefault="00766FFF" w:rsidP="001508D0">
      <w:pPr>
        <w:pStyle w:val="ListParagraph"/>
        <w:numPr>
          <w:ilvl w:val="0"/>
          <w:numId w:val="12"/>
        </w:numPr>
      </w:pPr>
      <w:proofErr w:type="gramStart"/>
      <w:r w:rsidRPr="00BB2E22">
        <w:t>comprendre</w:t>
      </w:r>
      <w:proofErr w:type="gramEnd"/>
      <w:r w:rsidRPr="00BB2E22">
        <w:t xml:space="preserve"> les composantes TIC de l’exigence et les exigences d’accessibilité de la norme EN 301 549 (2021) qui s’appliquent à l’approvisionnement;</w:t>
      </w:r>
    </w:p>
    <w:p w14:paraId="7A594E7E" w14:textId="77777777" w:rsidR="00766FFF" w:rsidRPr="00BB2E22" w:rsidRDefault="00766FFF" w:rsidP="001508D0">
      <w:pPr>
        <w:pStyle w:val="ListParagraph"/>
        <w:numPr>
          <w:ilvl w:val="0"/>
          <w:numId w:val="12"/>
        </w:numPr>
      </w:pPr>
      <w:proofErr w:type="gramStart"/>
      <w:r w:rsidRPr="00BB2E22">
        <w:t>inclure</w:t>
      </w:r>
      <w:proofErr w:type="gramEnd"/>
      <w:r w:rsidRPr="00BB2E22">
        <w:t xml:space="preserve"> les exigences d’accessibilité des TIC dans les exigences techniques pour établir ou renouveler une méthode d’approvisionnement commune telle que les offres à commandes</w:t>
      </w:r>
      <w:r w:rsidRPr="00BB2E22" w:rsidDel="002D2A70">
        <w:t xml:space="preserve"> </w:t>
      </w:r>
      <w:r w:rsidRPr="00BB2E22">
        <w:t>(OC) et les arrangement en matière d'approvisionnement</w:t>
      </w:r>
      <w:r w:rsidRPr="00BB2E22" w:rsidDel="002D2A70">
        <w:t xml:space="preserve"> </w:t>
      </w:r>
      <w:r w:rsidRPr="00BB2E22">
        <w:t xml:space="preserve"> (AMA);</w:t>
      </w:r>
    </w:p>
    <w:p w14:paraId="4F254131" w14:textId="77777777" w:rsidR="00766FFF" w:rsidRPr="00BB2E22" w:rsidRDefault="00766FFF" w:rsidP="001508D0">
      <w:pPr>
        <w:pStyle w:val="ListParagraph"/>
        <w:numPr>
          <w:ilvl w:val="1"/>
          <w:numId w:val="12"/>
        </w:numPr>
      </w:pPr>
      <w:proofErr w:type="gramStart"/>
      <w:r w:rsidRPr="00BB2E22">
        <w:t>cela</w:t>
      </w:r>
      <w:proofErr w:type="gramEnd"/>
      <w:r w:rsidRPr="00BB2E22">
        <w:t xml:space="preserve"> permettra au ministère ou à l’organisme qui passe une commande subséquente ou un </w:t>
      </w:r>
      <w:r>
        <w:t>contrat</w:t>
      </w:r>
      <w:r w:rsidRPr="00BB2E22">
        <w:t xml:space="preserve"> d’intégrer des exigences d’accessibilité précises de la norme EN 301 549 (2021).</w:t>
      </w:r>
    </w:p>
    <w:p w14:paraId="6342D3BC" w14:textId="77777777" w:rsidR="00766FFF" w:rsidRPr="00313146" w:rsidRDefault="00766FFF" w:rsidP="001508D0">
      <w:pPr>
        <w:pStyle w:val="ListParagraph"/>
        <w:numPr>
          <w:ilvl w:val="0"/>
          <w:numId w:val="12"/>
        </w:numPr>
      </w:pPr>
      <w:proofErr w:type="gramStart"/>
      <w:r w:rsidRPr="00313146">
        <w:lastRenderedPageBreak/>
        <w:t>élaborer</w:t>
      </w:r>
      <w:proofErr w:type="gramEnd"/>
      <w:r w:rsidRPr="00313146">
        <w:t xml:space="preserve"> un budget pour inclure des tests de conformité de l’accessibilité, des tests auprès des utilisateurs finals et d’autres exigences de validation (le cas échéant) dans leur plan de projet;</w:t>
      </w:r>
    </w:p>
    <w:p w14:paraId="15C1B275" w14:textId="77777777" w:rsidR="00766FFF" w:rsidRPr="00BB2E22" w:rsidRDefault="00766FFF" w:rsidP="001508D0">
      <w:pPr>
        <w:pStyle w:val="ListParagraph"/>
        <w:numPr>
          <w:ilvl w:val="0"/>
          <w:numId w:val="12"/>
        </w:numPr>
      </w:pPr>
      <w:proofErr w:type="gramStart"/>
      <w:r w:rsidRPr="00BB2E22">
        <w:t>déterminer</w:t>
      </w:r>
      <w:proofErr w:type="gramEnd"/>
      <w:r w:rsidRPr="00BB2E22">
        <w:t xml:space="preserve"> comment évaluer la conformité aux exigences d’accessibilité pendant toute la durée du contrat;</w:t>
      </w:r>
    </w:p>
    <w:p w14:paraId="42E80034" w14:textId="77777777" w:rsidR="00766FFF" w:rsidRPr="00BB2E22" w:rsidRDefault="00766FFF" w:rsidP="001508D0">
      <w:pPr>
        <w:pStyle w:val="ListParagraph"/>
        <w:numPr>
          <w:ilvl w:val="0"/>
          <w:numId w:val="12"/>
        </w:numPr>
      </w:pPr>
      <w:proofErr w:type="gramStart"/>
      <w:r w:rsidRPr="00BB2E22">
        <w:t>déterminer</w:t>
      </w:r>
      <w:proofErr w:type="gramEnd"/>
      <w:r w:rsidRPr="00BB2E22">
        <w:t xml:space="preserve"> les délais de mise au point, de mise à l’essai et de mise en production d’une solution de TIC, y compris les dispositions relatives aux solutions de rechange temporaires pour aborder les obstacles à l’accessibilité avant que les TIC ne répondent pleinement aux exigences d’accessibilité;</w:t>
      </w:r>
    </w:p>
    <w:p w14:paraId="595CB297" w14:textId="77777777" w:rsidR="00766FFF" w:rsidRPr="00BB2E22" w:rsidRDefault="00766FFF" w:rsidP="001508D0">
      <w:pPr>
        <w:pStyle w:val="ListParagraph"/>
        <w:numPr>
          <w:ilvl w:val="0"/>
          <w:numId w:val="12"/>
        </w:numPr>
      </w:pPr>
      <w:proofErr w:type="gramStart"/>
      <w:r w:rsidRPr="00BB2E22">
        <w:t>comprendre</w:t>
      </w:r>
      <w:proofErr w:type="gramEnd"/>
      <w:r w:rsidRPr="00BB2E22">
        <w:t xml:space="preserve"> la maturité du marché pour procurer des TIC accessibles : </w:t>
      </w:r>
    </w:p>
    <w:p w14:paraId="543C33AE" w14:textId="77777777" w:rsidR="00766FFF" w:rsidRPr="00BB2E22" w:rsidRDefault="00766FFF" w:rsidP="001508D0">
      <w:pPr>
        <w:pStyle w:val="ListParagraph"/>
        <w:numPr>
          <w:ilvl w:val="1"/>
          <w:numId w:val="12"/>
        </w:numPr>
      </w:pPr>
      <w:proofErr w:type="gramStart"/>
      <w:r w:rsidRPr="00BB2E22">
        <w:t>à</w:t>
      </w:r>
      <w:proofErr w:type="gramEnd"/>
      <w:r w:rsidRPr="00BB2E22">
        <w:t xml:space="preserve"> la clôture des soumissions, ou</w:t>
      </w:r>
    </w:p>
    <w:p w14:paraId="24977879" w14:textId="77777777" w:rsidR="00766FFF" w:rsidRPr="00BB2E22" w:rsidRDefault="00766FFF" w:rsidP="001508D0">
      <w:pPr>
        <w:pStyle w:val="ListParagraph"/>
        <w:numPr>
          <w:ilvl w:val="1"/>
          <w:numId w:val="12"/>
        </w:numPr>
      </w:pPr>
      <w:proofErr w:type="gramStart"/>
      <w:r w:rsidRPr="00BB2E22">
        <w:t>dans</w:t>
      </w:r>
      <w:proofErr w:type="gramEnd"/>
      <w:r w:rsidRPr="00BB2E22">
        <w:t xml:space="preserve"> le délai précisé dans l’approvisionnement.</w:t>
      </w:r>
    </w:p>
    <w:p w14:paraId="61F580C3" w14:textId="77777777" w:rsidR="00766FFF" w:rsidRPr="00BB2E22" w:rsidRDefault="00766FFF" w:rsidP="001508D0">
      <w:pPr>
        <w:pStyle w:val="ListParagraph"/>
        <w:numPr>
          <w:ilvl w:val="0"/>
          <w:numId w:val="12"/>
        </w:numPr>
      </w:pPr>
      <w:proofErr w:type="gramStart"/>
      <w:r w:rsidRPr="00BB2E22">
        <w:t>organiser</w:t>
      </w:r>
      <w:proofErr w:type="gramEnd"/>
      <w:r w:rsidRPr="00BB2E22">
        <w:t xml:space="preserve"> des journées de l’industrie à un stade précoce de la procédure d’approvisionnement lié aux TIC afin de permettre aux fournisseurs de poser des questions au sujet :</w:t>
      </w:r>
    </w:p>
    <w:p w14:paraId="2259ABA2" w14:textId="77777777" w:rsidR="00766FFF" w:rsidRPr="00BB2E22" w:rsidRDefault="00766FFF" w:rsidP="001508D0">
      <w:pPr>
        <w:pStyle w:val="ListParagraph"/>
        <w:numPr>
          <w:ilvl w:val="1"/>
          <w:numId w:val="12"/>
        </w:numPr>
      </w:pPr>
      <w:proofErr w:type="gramStart"/>
      <w:r w:rsidRPr="00BB2E22">
        <w:t>des</w:t>
      </w:r>
      <w:proofErr w:type="gramEnd"/>
      <w:r w:rsidRPr="00BB2E22">
        <w:t xml:space="preserve"> exigences d’accessibilité des TIC;</w:t>
      </w:r>
    </w:p>
    <w:p w14:paraId="651A23D1" w14:textId="77777777" w:rsidR="00766FFF" w:rsidRPr="00BB2E22" w:rsidRDefault="00766FFF" w:rsidP="001508D0">
      <w:pPr>
        <w:pStyle w:val="ListParagraph"/>
        <w:numPr>
          <w:ilvl w:val="1"/>
          <w:numId w:val="12"/>
        </w:numPr>
      </w:pPr>
      <w:proofErr w:type="gramStart"/>
      <w:r w:rsidRPr="00BB2E22">
        <w:t>d’autres</w:t>
      </w:r>
      <w:proofErr w:type="gramEnd"/>
      <w:r w:rsidRPr="00BB2E22">
        <w:t xml:space="preserve"> exigences clés.</w:t>
      </w:r>
    </w:p>
    <w:p w14:paraId="36DCEB15" w14:textId="7D1C69F2" w:rsidR="00766FFF" w:rsidRPr="00BB2E22" w:rsidRDefault="00766FFF" w:rsidP="001508D0">
      <w:pPr>
        <w:pStyle w:val="ListParagraph"/>
        <w:numPr>
          <w:ilvl w:val="0"/>
          <w:numId w:val="12"/>
        </w:numPr>
      </w:pPr>
      <w:proofErr w:type="gramStart"/>
      <w:r w:rsidRPr="00BB2E22">
        <w:t>exiger</w:t>
      </w:r>
      <w:proofErr w:type="gramEnd"/>
      <w:r w:rsidRPr="00BB2E22">
        <w:t xml:space="preserve"> que tous les fournisseurs des TIC présentent, dans un format accessible, un rapport de conformité de l’accessibilité (RCA), de préférence en utilisant le modèle volontaire d’accessibilité des produits (</w:t>
      </w:r>
      <w:hyperlink r:id="rId27" w:history="1">
        <w:r w:rsidR="00D43D11" w:rsidRPr="00AB5A6A">
          <w:rPr>
            <w:rStyle w:val="Hyperlink"/>
          </w:rPr>
          <w:t>VPAT</w:t>
        </w:r>
        <w:r w:rsidR="00D43D11">
          <w:rPr>
            <w:rStyle w:val="Hyperlink"/>
            <w:vertAlign w:val="superscript"/>
          </w:rPr>
          <w:t>®</w:t>
        </w:r>
        <w:r w:rsidR="00D43D11" w:rsidRPr="00AB5A6A">
          <w:rPr>
            <w:rStyle w:val="Hyperlink"/>
          </w:rPr>
          <w:t xml:space="preserve"> (en anglais seulement)</w:t>
        </w:r>
      </w:hyperlink>
      <w:r w:rsidRPr="00BB2E22">
        <w:t xml:space="preserve">)  ou un format comparable. </w:t>
      </w:r>
      <w:r w:rsidR="00BF216A" w:rsidRPr="00BB2E22">
        <w:t>Remarque</w:t>
      </w:r>
      <w:r w:rsidRPr="00BB2E22">
        <w:t xml:space="preserve"> : Lorsque la seule composante TIC est des documents non destinés au Web (p. ex., Word, PowerPoint, PDF, etc.), il n’est pas exigé de demander un RCA. Pour de plus amples renseignements sur le RCA, veuillez consulter </w:t>
      </w:r>
      <w:hyperlink w:anchor="_What_information_should" w:history="1">
        <w:r w:rsidRPr="00BB2E22">
          <w:rPr>
            <w:rStyle w:val="Hyperlink"/>
          </w:rPr>
          <w:t>Quels renseignements le rapport de conformité de l’accessibilité (RCA) devrait-il contenir?</w:t>
        </w:r>
      </w:hyperlink>
    </w:p>
    <w:p w14:paraId="54335C85" w14:textId="77777777" w:rsidR="00766FFF" w:rsidRPr="00313146" w:rsidRDefault="00766FFF" w:rsidP="00766FFF">
      <w:pPr>
        <w:pStyle w:val="ListParagraph"/>
        <w:rPr>
          <w:rStyle w:val="Strong"/>
        </w:rPr>
      </w:pPr>
      <w:r w:rsidRPr="00313146">
        <w:rPr>
          <w:rStyle w:val="Strong"/>
        </w:rPr>
        <w:t>Clarifications concernant la personne qui fournit le RCA et le moment de le fournir :</w:t>
      </w:r>
    </w:p>
    <w:p w14:paraId="517136A1" w14:textId="77777777" w:rsidR="00766FFF" w:rsidRPr="00BB2E22" w:rsidRDefault="00766FFF" w:rsidP="001508D0">
      <w:pPr>
        <w:pStyle w:val="ListParagraph"/>
        <w:numPr>
          <w:ilvl w:val="1"/>
          <w:numId w:val="12"/>
        </w:numPr>
      </w:pPr>
      <w:r w:rsidRPr="00BB2E22">
        <w:t xml:space="preserve">Lorsqu’un contrat est passé pour une </w:t>
      </w:r>
      <w:r w:rsidRPr="00313146">
        <w:rPr>
          <w:rStyle w:val="Strong"/>
        </w:rPr>
        <w:t>solution commerciale sur étagère (COTS)</w:t>
      </w:r>
      <w:r w:rsidRPr="00BB2E22">
        <w:t>, le fournisseur du fabricant d’équipement d’origine (FEO) doit fournir le RCA avec la soumission, et le fournisseur retenu doit fournir une feuille de route et accepter de corriger la solution au cours d’une certaine période.</w:t>
      </w:r>
    </w:p>
    <w:p w14:paraId="7F498FEF" w14:textId="77777777" w:rsidR="00766FFF" w:rsidRPr="00BB2E22" w:rsidRDefault="00766FFF" w:rsidP="001508D0">
      <w:pPr>
        <w:pStyle w:val="ListParagraph"/>
        <w:numPr>
          <w:ilvl w:val="1"/>
          <w:numId w:val="12"/>
        </w:numPr>
      </w:pPr>
      <w:r w:rsidRPr="00BB2E22">
        <w:lastRenderedPageBreak/>
        <w:t xml:space="preserve">Lorsqu’un contrat est passé pour une </w:t>
      </w:r>
      <w:r w:rsidRPr="00313146">
        <w:rPr>
          <w:rStyle w:val="Strong"/>
        </w:rPr>
        <w:t>solution de TIC personnalisée</w:t>
      </w:r>
      <w:r w:rsidRPr="00BB2E22">
        <w:t>, le fournisseur du FEO doit fournir le RCA tel qu’il est décrit dans le contrat et veiller à ce que la solution de TIC soit fournie conformément aux exigences en matière de TIC.</w:t>
      </w:r>
    </w:p>
    <w:p w14:paraId="4423AEAC" w14:textId="77777777" w:rsidR="00766FFF" w:rsidRPr="00BB2E22" w:rsidRDefault="00766FFF" w:rsidP="001508D0">
      <w:pPr>
        <w:pStyle w:val="ListParagraph"/>
        <w:numPr>
          <w:ilvl w:val="1"/>
          <w:numId w:val="12"/>
        </w:numPr>
      </w:pPr>
      <w:r w:rsidRPr="00BB2E22">
        <w:t xml:space="preserve">Lorsqu’un contrat est passé avec un </w:t>
      </w:r>
      <w:r w:rsidRPr="00313146">
        <w:rPr>
          <w:rStyle w:val="Strong"/>
        </w:rPr>
        <w:t>intégrateur</w:t>
      </w:r>
      <w:r w:rsidRPr="00BB2E22">
        <w:t>, celui-ci doit :</w:t>
      </w:r>
    </w:p>
    <w:p w14:paraId="27F0D739" w14:textId="77777777" w:rsidR="00766FFF" w:rsidRPr="00BB2E22" w:rsidRDefault="00766FFF" w:rsidP="001508D0">
      <w:pPr>
        <w:pStyle w:val="ListParagraph"/>
        <w:numPr>
          <w:ilvl w:val="2"/>
          <w:numId w:val="12"/>
        </w:numPr>
      </w:pPr>
      <w:proofErr w:type="gramStart"/>
      <w:r w:rsidRPr="00BB2E22">
        <w:t>mettre</w:t>
      </w:r>
      <w:proofErr w:type="gramEnd"/>
      <w:r w:rsidRPr="00BB2E22">
        <w:t xml:space="preserve"> en œuvre la solution pour se conformer à la norme EN 301 549, dans la mesure où la plate-forme du FEO le permet, en utilisant et en activant les fonctions d’accessibilité fournies par le FEO ou par le biais de mises en œuvre personnalisées, le cas échéant;</w:t>
      </w:r>
    </w:p>
    <w:p w14:paraId="5D7D7E45" w14:textId="77777777" w:rsidR="00766FFF" w:rsidRPr="00BB2E22" w:rsidRDefault="00766FFF" w:rsidP="001508D0">
      <w:pPr>
        <w:pStyle w:val="ListParagraph"/>
        <w:numPr>
          <w:ilvl w:val="2"/>
          <w:numId w:val="12"/>
        </w:numPr>
      </w:pPr>
      <w:proofErr w:type="gramStart"/>
      <w:r w:rsidRPr="00BB2E22">
        <w:t>entretenir</w:t>
      </w:r>
      <w:proofErr w:type="gramEnd"/>
      <w:r w:rsidRPr="00BB2E22">
        <w:t xml:space="preserve"> de bonnes relations de travail avec le FEO;</w:t>
      </w:r>
    </w:p>
    <w:p w14:paraId="326211BB" w14:textId="77777777" w:rsidR="00766FFF" w:rsidRPr="00BB2E22" w:rsidRDefault="00766FFF" w:rsidP="001508D0">
      <w:pPr>
        <w:pStyle w:val="ListParagraph"/>
        <w:numPr>
          <w:ilvl w:val="2"/>
          <w:numId w:val="12"/>
        </w:numPr>
      </w:pPr>
      <w:proofErr w:type="gramStart"/>
      <w:r w:rsidRPr="00BB2E22">
        <w:t>collaborer</w:t>
      </w:r>
      <w:proofErr w:type="gramEnd"/>
      <w:r w:rsidRPr="00BB2E22">
        <w:t xml:space="preserve"> avec le FEO pour aborder les problèmes d’accessibilité.</w:t>
      </w:r>
    </w:p>
    <w:p w14:paraId="774F05A7" w14:textId="77777777" w:rsidR="00766FFF" w:rsidRPr="00BB2E22" w:rsidRDefault="00766FFF" w:rsidP="001508D0">
      <w:pPr>
        <w:pStyle w:val="ListParagraph"/>
        <w:numPr>
          <w:ilvl w:val="0"/>
          <w:numId w:val="12"/>
        </w:numPr>
      </w:pPr>
      <w:proofErr w:type="gramStart"/>
      <w:r w:rsidRPr="00BB2E22">
        <w:t>exiger</w:t>
      </w:r>
      <w:proofErr w:type="gramEnd"/>
      <w:r w:rsidRPr="00BB2E22">
        <w:t xml:space="preserve"> que les fournisseurs des TIC fassent préparer le RCA soit par :</w:t>
      </w:r>
    </w:p>
    <w:p w14:paraId="2D98C5E4" w14:textId="77777777" w:rsidR="00766FFF" w:rsidRPr="00BB2E22" w:rsidRDefault="00766FFF" w:rsidP="001508D0">
      <w:pPr>
        <w:pStyle w:val="ListParagraph"/>
        <w:numPr>
          <w:ilvl w:val="1"/>
          <w:numId w:val="12"/>
        </w:numPr>
      </w:pPr>
      <w:proofErr w:type="gramStart"/>
      <w:r w:rsidRPr="00BB2E22">
        <w:t>un</w:t>
      </w:r>
      <w:proofErr w:type="gramEnd"/>
      <w:r w:rsidRPr="00BB2E22">
        <w:t xml:space="preserve"> tiers se spécialisant dans les tests de conformité de l’accessibilité des TIC (de préférence);</w:t>
      </w:r>
    </w:p>
    <w:p w14:paraId="58EC76CC" w14:textId="77777777" w:rsidR="00766FFF" w:rsidRPr="00BB2E22" w:rsidRDefault="00766FFF" w:rsidP="001508D0">
      <w:pPr>
        <w:pStyle w:val="ListParagraph"/>
        <w:numPr>
          <w:ilvl w:val="1"/>
          <w:numId w:val="12"/>
        </w:numPr>
      </w:pPr>
      <w:proofErr w:type="gramStart"/>
      <w:r w:rsidRPr="00BB2E22">
        <w:t>les</w:t>
      </w:r>
      <w:proofErr w:type="gramEnd"/>
      <w:r w:rsidRPr="00BB2E22">
        <w:t xml:space="preserve"> spécialistes en accessibilité internes du fournisseur. </w:t>
      </w:r>
    </w:p>
    <w:p w14:paraId="02964814" w14:textId="77777777" w:rsidR="00766FFF" w:rsidRPr="00BB2E22" w:rsidRDefault="00766FFF" w:rsidP="001508D0">
      <w:pPr>
        <w:pStyle w:val="ListParagraph"/>
        <w:numPr>
          <w:ilvl w:val="0"/>
          <w:numId w:val="12"/>
        </w:numPr>
      </w:pPr>
      <w:proofErr w:type="gramStart"/>
      <w:r w:rsidRPr="00BB2E22">
        <w:t>préciser</w:t>
      </w:r>
      <w:proofErr w:type="gramEnd"/>
      <w:r w:rsidRPr="00BB2E22">
        <w:t xml:space="preserve"> quelles normes d’accessibilité des TIC seront acceptées dans le cadre du rapport de conformité de l’accessibilité (RCA); </w:t>
      </w:r>
    </w:p>
    <w:p w14:paraId="5A57E42E" w14:textId="77777777" w:rsidR="00766FFF" w:rsidRPr="00BB2E22" w:rsidRDefault="00766FFF" w:rsidP="001508D0">
      <w:pPr>
        <w:pStyle w:val="ListParagraph"/>
        <w:numPr>
          <w:ilvl w:val="1"/>
          <w:numId w:val="12"/>
        </w:numPr>
      </w:pPr>
      <w:proofErr w:type="gramStart"/>
      <w:r w:rsidRPr="00BB2E22">
        <w:t>lorsque</w:t>
      </w:r>
      <w:proofErr w:type="gramEnd"/>
      <w:r w:rsidRPr="00BB2E22">
        <w:t xml:space="preserve"> le ou les fournisseurs retenus ont soumis un RCA qui consigne les résultats des tests par rapport à une autre norme d’accessibilité des TIC, le ou les fournisseurs retenus doivent fournir, avant une date ferme, un RCA dans un format accessible qui montre les tests par rapport à la norme EN 301 549 (2021).</w:t>
      </w:r>
    </w:p>
    <w:p w14:paraId="78D9AC66" w14:textId="77777777" w:rsidR="00766FFF" w:rsidRPr="00BB2E22" w:rsidRDefault="00766FFF" w:rsidP="001508D0">
      <w:pPr>
        <w:pStyle w:val="ListParagraph"/>
        <w:numPr>
          <w:ilvl w:val="0"/>
          <w:numId w:val="12"/>
        </w:numPr>
      </w:pPr>
      <w:proofErr w:type="gramStart"/>
      <w:r w:rsidRPr="00313146">
        <w:t>inclure</w:t>
      </w:r>
      <w:proofErr w:type="gramEnd"/>
      <w:r w:rsidRPr="00313146">
        <w:t xml:space="preserve"> un libellé indiquant que le Canada comprend qu’il est peu probable que les fournisseurs soient en mesure de se conformer entièrement à la norme EN 301 549 (2021) au moment de la clôture des soumissions, mais qu’au moment de l’attribution du contrat, la soumission retenue devra démontrer comment la conformité totale sera atteinte. Lors de l’attribution du contrat, le fournisseur retenu devra :</w:t>
      </w:r>
    </w:p>
    <w:p w14:paraId="51B7C748" w14:textId="6C8F2B6F" w:rsidR="00766FFF" w:rsidRPr="00BB2E22" w:rsidRDefault="00766FFF" w:rsidP="001508D0">
      <w:pPr>
        <w:pStyle w:val="ListParagraph"/>
        <w:numPr>
          <w:ilvl w:val="1"/>
          <w:numId w:val="12"/>
        </w:numPr>
      </w:pPr>
      <w:proofErr w:type="gramStart"/>
      <w:r w:rsidRPr="00BB2E22">
        <w:t>soumettre</w:t>
      </w:r>
      <w:proofErr w:type="gramEnd"/>
      <w:r w:rsidRPr="00BB2E22">
        <w:t xml:space="preserve"> une feuille de route détaillée dans un format accessible lorsque la solution de TIC proposée n’est pas entièrement conforme à la norme EN 301 549 (2021) </w:t>
      </w:r>
      <w:r>
        <w:t xml:space="preserve">comme spécifié par le </w:t>
      </w:r>
      <w:r w:rsidRPr="00766FFF">
        <w:t>propriétaire fonctionnel</w:t>
      </w:r>
      <w:r w:rsidRPr="00BB2E22">
        <w:t xml:space="preserve">. Dans </w:t>
      </w:r>
      <w:r w:rsidRPr="00BB2E22">
        <w:lastRenderedPageBreak/>
        <w:t>ce cas, le contrat devrait contenir une date ferme à laquelle le fournisseur de la solution de TIC doit fournir la feuille de route. La feuille de route devrait comprendre :</w:t>
      </w:r>
    </w:p>
    <w:p w14:paraId="1264E34F" w14:textId="77777777" w:rsidR="00766FFF" w:rsidRPr="00BB2E22" w:rsidRDefault="00766FFF" w:rsidP="001508D0">
      <w:pPr>
        <w:pStyle w:val="ListParagraph"/>
        <w:numPr>
          <w:ilvl w:val="2"/>
          <w:numId w:val="12"/>
        </w:numPr>
      </w:pPr>
      <w:proofErr w:type="gramStart"/>
      <w:r w:rsidRPr="00BB2E22">
        <w:t>des</w:t>
      </w:r>
      <w:proofErr w:type="gramEnd"/>
      <w:r w:rsidRPr="00BB2E22">
        <w:t xml:space="preserve"> précisions sur la manière dont le ou les fournisseurs retenus de la solution de TIC corrigeront leur solution de TIC pour se conformer à la norme EN 301 549 (2021) dans le délai défini dans le contrat; </w:t>
      </w:r>
    </w:p>
    <w:p w14:paraId="4371127C" w14:textId="77777777" w:rsidR="00766FFF" w:rsidRPr="00BB2E22" w:rsidRDefault="00766FFF" w:rsidP="001508D0">
      <w:pPr>
        <w:pStyle w:val="ListParagraph"/>
        <w:numPr>
          <w:ilvl w:val="2"/>
          <w:numId w:val="12"/>
        </w:numPr>
      </w:pPr>
      <w:proofErr w:type="gramStart"/>
      <w:r w:rsidRPr="00BB2E22">
        <w:t>suffisamment</w:t>
      </w:r>
      <w:proofErr w:type="gramEnd"/>
      <w:r w:rsidRPr="00BB2E22">
        <w:t xml:space="preserve"> de détails pour surveiller les progrès et la livraison de la solution de TIC.</w:t>
      </w:r>
    </w:p>
    <w:p w14:paraId="63DEEF25" w14:textId="77777777" w:rsidR="00766FFF" w:rsidRPr="00BB2E22" w:rsidRDefault="00766FFF" w:rsidP="001508D0">
      <w:pPr>
        <w:pStyle w:val="ListParagraph"/>
        <w:numPr>
          <w:ilvl w:val="0"/>
          <w:numId w:val="12"/>
        </w:numPr>
      </w:pPr>
      <w:proofErr w:type="gramStart"/>
      <w:r w:rsidRPr="00BB2E22">
        <w:t>s’assurer</w:t>
      </w:r>
      <w:proofErr w:type="gramEnd"/>
      <w:r w:rsidRPr="00BB2E22">
        <w:t xml:space="preserve"> que le processus comprend les exigences suivantes :</w:t>
      </w:r>
    </w:p>
    <w:p w14:paraId="7A893EF2" w14:textId="77777777" w:rsidR="00766FFF" w:rsidRPr="00BB2E22" w:rsidRDefault="00766FFF" w:rsidP="001508D0">
      <w:pPr>
        <w:pStyle w:val="ListParagraph"/>
        <w:numPr>
          <w:ilvl w:val="1"/>
          <w:numId w:val="12"/>
        </w:numPr>
      </w:pPr>
      <w:proofErr w:type="gramStart"/>
      <w:r w:rsidRPr="00BB2E22">
        <w:t>des</w:t>
      </w:r>
      <w:proofErr w:type="gramEnd"/>
      <w:r w:rsidRPr="00BB2E22">
        <w:t xml:space="preserve"> tests de conformité de l’accessibilité effectués comme suit :</w:t>
      </w:r>
    </w:p>
    <w:p w14:paraId="7E40C851" w14:textId="77777777" w:rsidR="00766FFF" w:rsidRPr="00BB2E22" w:rsidRDefault="00766FFF" w:rsidP="001508D0">
      <w:pPr>
        <w:pStyle w:val="ListParagraph"/>
        <w:numPr>
          <w:ilvl w:val="2"/>
          <w:numId w:val="12"/>
        </w:numPr>
      </w:pPr>
      <w:proofErr w:type="gramStart"/>
      <w:r w:rsidRPr="00BB2E22">
        <w:t>pour</w:t>
      </w:r>
      <w:proofErr w:type="gramEnd"/>
      <w:r w:rsidRPr="00BB2E22">
        <w:t xml:space="preserve"> évaluer la conformité de l’accessibilité à la norme EN 301 549 (2021) durant la phase d’évaluation des soumissions; </w:t>
      </w:r>
    </w:p>
    <w:p w14:paraId="1651B5C0" w14:textId="77777777" w:rsidR="00766FFF" w:rsidRPr="00BB2E22" w:rsidRDefault="00766FFF" w:rsidP="001508D0">
      <w:pPr>
        <w:pStyle w:val="ListParagraph"/>
        <w:numPr>
          <w:ilvl w:val="2"/>
          <w:numId w:val="12"/>
        </w:numPr>
      </w:pPr>
      <w:proofErr w:type="gramStart"/>
      <w:r w:rsidRPr="00BB2E22">
        <w:t>comme</w:t>
      </w:r>
      <w:proofErr w:type="gramEnd"/>
      <w:r w:rsidRPr="00BB2E22">
        <w:t xml:space="preserve"> il convient, à des intervalles prédéterminés durant toute la durée du contrat. </w:t>
      </w:r>
    </w:p>
    <w:p w14:paraId="57B656FF" w14:textId="77777777" w:rsidR="00766FFF" w:rsidRPr="00BB2E22" w:rsidRDefault="00766FFF" w:rsidP="001508D0">
      <w:pPr>
        <w:pStyle w:val="ListParagraph"/>
        <w:numPr>
          <w:ilvl w:val="1"/>
          <w:numId w:val="12"/>
        </w:numPr>
      </w:pPr>
      <w:proofErr w:type="gramStart"/>
      <w:r w:rsidRPr="00BB2E22">
        <w:t>des</w:t>
      </w:r>
      <w:proofErr w:type="gramEnd"/>
      <w:r w:rsidRPr="00BB2E22">
        <w:t xml:space="preserve"> tests d’utilisateur auprès des personnes en situation de handicap effectués comme suit :</w:t>
      </w:r>
    </w:p>
    <w:p w14:paraId="09346316" w14:textId="77777777" w:rsidR="00766FFF" w:rsidRPr="00BB2E22" w:rsidRDefault="00766FFF" w:rsidP="001508D0">
      <w:pPr>
        <w:pStyle w:val="ListParagraph"/>
        <w:numPr>
          <w:ilvl w:val="2"/>
          <w:numId w:val="12"/>
        </w:numPr>
      </w:pPr>
      <w:proofErr w:type="gramStart"/>
      <w:r w:rsidRPr="00BB2E22">
        <w:t>durant</w:t>
      </w:r>
      <w:proofErr w:type="gramEnd"/>
      <w:r w:rsidRPr="00BB2E22">
        <w:t xml:space="preserve"> la phase d’évaluation des soumissions;</w:t>
      </w:r>
    </w:p>
    <w:p w14:paraId="39C9EC6E" w14:textId="77777777" w:rsidR="00766FFF" w:rsidRPr="00BB2E22" w:rsidRDefault="00766FFF" w:rsidP="001508D0">
      <w:pPr>
        <w:pStyle w:val="ListParagraph"/>
        <w:numPr>
          <w:ilvl w:val="2"/>
          <w:numId w:val="12"/>
        </w:numPr>
      </w:pPr>
      <w:proofErr w:type="gramStart"/>
      <w:r w:rsidRPr="00BB2E22">
        <w:t>comme</w:t>
      </w:r>
      <w:proofErr w:type="gramEnd"/>
      <w:r w:rsidRPr="00BB2E22">
        <w:t xml:space="preserve"> il convient, à des intervalles prédéterminés durant toute la durée du contrat.</w:t>
      </w:r>
    </w:p>
    <w:p w14:paraId="127FFC99" w14:textId="77777777" w:rsidR="00766FFF" w:rsidRPr="00BB2E22" w:rsidRDefault="00766FFF" w:rsidP="001508D0">
      <w:pPr>
        <w:pStyle w:val="ListParagraph"/>
        <w:numPr>
          <w:ilvl w:val="1"/>
          <w:numId w:val="12"/>
        </w:numPr>
      </w:pPr>
      <w:proofErr w:type="gramStart"/>
      <w:r w:rsidRPr="00BB2E22">
        <w:t>un</w:t>
      </w:r>
      <w:proofErr w:type="gramEnd"/>
      <w:r w:rsidRPr="00BB2E22">
        <w:t xml:space="preserve"> mécanisme de rétroaction pour aborder les plaintes des utilisateurs et les problèmes d’accessibilité qui :</w:t>
      </w:r>
    </w:p>
    <w:p w14:paraId="530A3BBE" w14:textId="77777777" w:rsidR="00766FFF" w:rsidRPr="00BB2E22" w:rsidRDefault="00766FFF" w:rsidP="001508D0">
      <w:pPr>
        <w:pStyle w:val="ListParagraph"/>
        <w:numPr>
          <w:ilvl w:val="2"/>
          <w:numId w:val="12"/>
        </w:numPr>
      </w:pPr>
      <w:proofErr w:type="gramStart"/>
      <w:r w:rsidRPr="00BB2E22">
        <w:t>sont</w:t>
      </w:r>
      <w:proofErr w:type="gramEnd"/>
      <w:r w:rsidRPr="00BB2E22">
        <w:t xml:space="preserve"> connus avant l’attribution du contrat;</w:t>
      </w:r>
    </w:p>
    <w:p w14:paraId="4AA2D0C6" w14:textId="77777777" w:rsidR="00766FFF" w:rsidRPr="00BB2E22" w:rsidRDefault="00766FFF" w:rsidP="001508D0">
      <w:pPr>
        <w:pStyle w:val="ListParagraph"/>
        <w:numPr>
          <w:ilvl w:val="2"/>
          <w:numId w:val="12"/>
        </w:numPr>
      </w:pPr>
      <w:proofErr w:type="gramStart"/>
      <w:r w:rsidRPr="00BB2E22">
        <w:t>surviennent</w:t>
      </w:r>
      <w:proofErr w:type="gramEnd"/>
      <w:r w:rsidRPr="00BB2E22">
        <w:t xml:space="preserve"> durant l’administration du contrat.</w:t>
      </w:r>
    </w:p>
    <w:p w14:paraId="63301338" w14:textId="77777777" w:rsidR="00766FFF" w:rsidRPr="00BB2E22" w:rsidRDefault="00766FFF" w:rsidP="001508D0">
      <w:pPr>
        <w:pStyle w:val="ListParagraph"/>
        <w:numPr>
          <w:ilvl w:val="0"/>
          <w:numId w:val="12"/>
        </w:numPr>
      </w:pPr>
      <w:proofErr w:type="gramStart"/>
      <w:r w:rsidRPr="00BB2E22">
        <w:t>examiner</w:t>
      </w:r>
      <w:proofErr w:type="gramEnd"/>
      <w:r w:rsidRPr="00BB2E22">
        <w:t xml:space="preserve"> et comprendre les déclarations du fournisseur dans son RCA sur la manière dont sa solution de TIC est conforme aux sections pertinentes de la norme EN 301 549 (2021);</w:t>
      </w:r>
    </w:p>
    <w:p w14:paraId="465E3CA3" w14:textId="77777777" w:rsidR="00766FFF" w:rsidRPr="00BB2E22" w:rsidRDefault="00766FFF" w:rsidP="001508D0">
      <w:pPr>
        <w:pStyle w:val="ListParagraph"/>
        <w:numPr>
          <w:ilvl w:val="0"/>
          <w:numId w:val="12"/>
        </w:numPr>
      </w:pPr>
      <w:proofErr w:type="gramStart"/>
      <w:r w:rsidRPr="00BB2E22">
        <w:t>effectuer</w:t>
      </w:r>
      <w:proofErr w:type="gramEnd"/>
      <w:r w:rsidRPr="00BB2E22">
        <w:t xml:space="preserve"> l’évaluation technique.</w:t>
      </w:r>
    </w:p>
    <w:p w14:paraId="28490545" w14:textId="77777777" w:rsidR="00766FFF" w:rsidRPr="005A1387" w:rsidRDefault="00766FFF" w:rsidP="00766FFF">
      <w:pPr>
        <w:pStyle w:val="Heading2"/>
      </w:pPr>
      <w:bookmarkStart w:id="17" w:name="_Toc187907169"/>
      <w:r w:rsidRPr="005A1387">
        <w:lastRenderedPageBreak/>
        <w:t>On encourage fortement les autorités contractantes à :</w:t>
      </w:r>
      <w:bookmarkEnd w:id="17"/>
    </w:p>
    <w:p w14:paraId="145BE98F" w14:textId="77777777" w:rsidR="00766FFF" w:rsidRPr="005A1387" w:rsidRDefault="00766FFF" w:rsidP="001508D0">
      <w:pPr>
        <w:pStyle w:val="ListParagraph"/>
        <w:numPr>
          <w:ilvl w:val="0"/>
          <w:numId w:val="13"/>
        </w:numPr>
      </w:pPr>
      <w:proofErr w:type="gramStart"/>
      <w:r w:rsidRPr="005A1387">
        <w:t>discuter</w:t>
      </w:r>
      <w:proofErr w:type="gramEnd"/>
      <w:r w:rsidRPr="005A1387">
        <w:t xml:space="preserve"> avec les propriétaires fonctionnels de la nécessité d’un engagement industriel avant d’entamer un processus d’approvisionnement lié aux TIC (p. ex., une demande d’information accompagnée d’un projet d’énoncé des travaux). Ce travail peut aider à évaluer la capacité du marché à livrer une solution de TIC entièrement accessible au moment de l’attribution du contrat ou si une approche progressive est nécessaire;</w:t>
      </w:r>
    </w:p>
    <w:p w14:paraId="251BBCFC" w14:textId="77777777" w:rsidR="00766FFF" w:rsidRPr="005A1387" w:rsidRDefault="00766FFF" w:rsidP="001508D0">
      <w:pPr>
        <w:pStyle w:val="ListParagraph"/>
        <w:numPr>
          <w:ilvl w:val="0"/>
          <w:numId w:val="13"/>
        </w:numPr>
      </w:pPr>
      <w:proofErr w:type="gramStart"/>
      <w:r w:rsidRPr="005A1387">
        <w:t>veiller</w:t>
      </w:r>
      <w:proofErr w:type="gramEnd"/>
      <w:r w:rsidRPr="005A1387">
        <w:t xml:space="preserve"> à ce que la demande de soumissions et le contrat subséquent contiennent un langage d’accessibilité et des exigences en matière de TIC ayant force exécutoire;</w:t>
      </w:r>
    </w:p>
    <w:p w14:paraId="342DE591" w14:textId="56E2DB83" w:rsidR="00766FFF" w:rsidRPr="005A1387" w:rsidRDefault="00766FFF" w:rsidP="001508D0">
      <w:pPr>
        <w:pStyle w:val="ListParagraph"/>
        <w:numPr>
          <w:ilvl w:val="0"/>
          <w:numId w:val="13"/>
        </w:numPr>
      </w:pPr>
      <w:proofErr w:type="gramStart"/>
      <w:r w:rsidRPr="005A1387">
        <w:t>s’assurer</w:t>
      </w:r>
      <w:proofErr w:type="gramEnd"/>
      <w:r w:rsidRPr="005A1387">
        <w:t xml:space="preserve"> que la demande de soumissions et le contrat subséquent incluent les exigences du propriétaire fonctionnel en matière de TIC qui peuvent être générées à partir du générateur (prototype) d’exigences en matière de technologies de l’information et des communications (TIC) de SPC pour la norme EN 301 549 (2021). </w:t>
      </w:r>
      <w:hyperlink r:id="rId28" w:history="1">
        <w:r w:rsidRPr="007216B0">
          <w:rPr>
            <w:rStyle w:val="Hyperlink"/>
          </w:rPr>
          <w:t>L’outil de SPC génère</w:t>
        </w:r>
      </w:hyperlink>
      <w:r w:rsidRPr="005A1387">
        <w:t xml:space="preserve"> les exigences de la norme EN 301 549 (2021).</w:t>
      </w:r>
      <w:r w:rsidRPr="00313146">
        <w:t xml:space="preserve"> </w:t>
      </w:r>
      <w:r w:rsidR="00C746E4">
        <w:br/>
      </w:r>
      <w:r w:rsidRPr="00AB5A6A">
        <w:rPr>
          <w:rStyle w:val="Strong"/>
          <w:b w:val="0"/>
          <w:bCs w:val="0"/>
        </w:rPr>
        <w:t>Remarque</w:t>
      </w:r>
      <w:r w:rsidRPr="00313146">
        <w:rPr>
          <w:rStyle w:val="Strong"/>
        </w:rPr>
        <w:t> :</w:t>
      </w:r>
      <w:r w:rsidRPr="005A1387">
        <w:t xml:space="preserve"> Les autorités contractantes peuvent également fournir un lien hypertexte vers :</w:t>
      </w:r>
    </w:p>
    <w:p w14:paraId="5FCCB33B" w14:textId="1B461D15" w:rsidR="00766FFF" w:rsidRPr="005A1387" w:rsidRDefault="00766FFF" w:rsidP="001508D0">
      <w:pPr>
        <w:pStyle w:val="ListParagraph"/>
        <w:numPr>
          <w:ilvl w:val="1"/>
          <w:numId w:val="13"/>
        </w:numPr>
      </w:pPr>
      <w:hyperlink r:id="rId29" w:history="1">
        <w:proofErr w:type="gramStart"/>
        <w:r w:rsidRPr="007216B0">
          <w:rPr>
            <w:rStyle w:val="Hyperlink"/>
          </w:rPr>
          <w:t>les</w:t>
        </w:r>
        <w:proofErr w:type="gramEnd"/>
        <w:r w:rsidRPr="007216B0">
          <w:rPr>
            <w:rStyle w:val="Hyperlink"/>
          </w:rPr>
          <w:t xml:space="preserve"> exigences d’accessibilité des technologies de l’information et des communications</w:t>
        </w:r>
      </w:hyperlink>
      <w:r w:rsidRPr="00313146">
        <w:t xml:space="preserve"> (TIC)</w:t>
      </w:r>
      <w:r w:rsidRPr="005A1387">
        <w:t>;</w:t>
      </w:r>
    </w:p>
    <w:p w14:paraId="4B04CA2E" w14:textId="27FB776C" w:rsidR="00766FFF" w:rsidRPr="005A1387" w:rsidRDefault="00766FFF" w:rsidP="001508D0">
      <w:pPr>
        <w:pStyle w:val="ListParagraph"/>
        <w:numPr>
          <w:ilvl w:val="1"/>
          <w:numId w:val="13"/>
        </w:numPr>
      </w:pPr>
      <w:proofErr w:type="gramStart"/>
      <w:r w:rsidRPr="005A1387">
        <w:t>le</w:t>
      </w:r>
      <w:proofErr w:type="gramEnd"/>
      <w:r w:rsidRPr="005A1387">
        <w:t xml:space="preserve"> </w:t>
      </w:r>
      <w:hyperlink r:id="rId30" w:history="1">
        <w:proofErr w:type="spellStart"/>
        <w:r w:rsidR="00F0510B">
          <w:rPr>
            <w:rStyle w:val="Hyperlink"/>
          </w:rPr>
          <w:t>pdf</w:t>
        </w:r>
        <w:proofErr w:type="spellEnd"/>
        <w:r w:rsidR="00F0510B">
          <w:rPr>
            <w:rStyle w:val="Hyperlink"/>
          </w:rPr>
          <w:t xml:space="preserve"> de la norme EN 301 549 V3.2.1 (en anglais seulement)</w:t>
        </w:r>
      </w:hyperlink>
      <w:r w:rsidRPr="005A1387">
        <w:t xml:space="preserve"> ou</w:t>
      </w:r>
    </w:p>
    <w:p w14:paraId="11CD2832" w14:textId="75212C51" w:rsidR="00766FFF" w:rsidRPr="005A1387" w:rsidRDefault="00766FFF" w:rsidP="001508D0">
      <w:pPr>
        <w:pStyle w:val="ListParagraph"/>
        <w:numPr>
          <w:ilvl w:val="1"/>
          <w:numId w:val="13"/>
        </w:numPr>
      </w:pPr>
      <w:hyperlink r:id="rId31" w:history="1">
        <w:r w:rsidRPr="005A1387">
          <w:rPr>
            <w:rStyle w:val="Hyperlink"/>
          </w:rPr>
          <w:t>CAN/ASC – EN 301 549:2024 Exigences d’accessibilité pour les produits et services TIC (EN 301 549:2021, IDT)</w:t>
        </w:r>
      </w:hyperlink>
      <w:r w:rsidRPr="005A1387">
        <w:t>.</w:t>
      </w:r>
    </w:p>
    <w:p w14:paraId="068BC5B5" w14:textId="77777777" w:rsidR="00766FFF" w:rsidRPr="005A1387" w:rsidRDefault="00766FFF" w:rsidP="001508D0">
      <w:pPr>
        <w:pStyle w:val="ListParagraph"/>
        <w:numPr>
          <w:ilvl w:val="0"/>
          <w:numId w:val="13"/>
        </w:numPr>
      </w:pPr>
      <w:proofErr w:type="gramStart"/>
      <w:r w:rsidRPr="005A1387">
        <w:t>s’assurer</w:t>
      </w:r>
      <w:proofErr w:type="gramEnd"/>
      <w:r w:rsidRPr="005A1387">
        <w:t xml:space="preserve"> que les exigences d’accessibilité des TIC figurent dans les exigences techniques lors de l’établissement ou du renouvellement d’une méthode d’approvisionnement commune, par exemple les offres à commandes et les arrangement en matière d'approvisionnement</w:t>
      </w:r>
      <w:r w:rsidRPr="005A1387" w:rsidDel="00057548">
        <w:t xml:space="preserve"> </w:t>
      </w:r>
      <w:r w:rsidRPr="005A1387">
        <w:t>(AMA). Ainsi, les utilisateurs identifiés ont la capacité d’intégrer les exigences d’accessibilité de la norme EN 301 549 (2021) dans les futurs contrats ou commandes subséquentes;</w:t>
      </w:r>
    </w:p>
    <w:p w14:paraId="3B2C656E" w14:textId="77777777" w:rsidR="00766FFF" w:rsidRPr="005A1387" w:rsidRDefault="00766FFF" w:rsidP="001508D0">
      <w:pPr>
        <w:pStyle w:val="ListParagraph"/>
        <w:numPr>
          <w:ilvl w:val="0"/>
          <w:numId w:val="13"/>
        </w:numPr>
      </w:pPr>
      <w:proofErr w:type="gramStart"/>
      <w:r w:rsidRPr="005A1387">
        <w:t>veiller</w:t>
      </w:r>
      <w:proofErr w:type="gramEnd"/>
      <w:r w:rsidRPr="005A1387">
        <w:t xml:space="preserve"> à ce que le propriétaire fonctionnel exige que le ou les fournisseurs retenus :</w:t>
      </w:r>
    </w:p>
    <w:p w14:paraId="313BFB0A" w14:textId="77777777" w:rsidR="00766FFF" w:rsidRPr="005A1387" w:rsidRDefault="00766FFF" w:rsidP="001508D0">
      <w:pPr>
        <w:pStyle w:val="ListParagraph"/>
        <w:numPr>
          <w:ilvl w:val="1"/>
          <w:numId w:val="13"/>
        </w:numPr>
      </w:pPr>
      <w:proofErr w:type="gramStart"/>
      <w:r w:rsidRPr="005A1387">
        <w:lastRenderedPageBreak/>
        <w:t>fournissent</w:t>
      </w:r>
      <w:proofErr w:type="gramEnd"/>
      <w:r w:rsidRPr="005A1387">
        <w:t>, avant une date ferme, un RCA dans un format accessible qui montre les résultats des tests par rapport à la bonne norme d’accessibilité comme il est précisé dans le contrat;</w:t>
      </w:r>
    </w:p>
    <w:p w14:paraId="651A6C72" w14:textId="77777777" w:rsidR="00766FFF" w:rsidRPr="005A1387" w:rsidRDefault="00766FFF" w:rsidP="001508D0">
      <w:pPr>
        <w:pStyle w:val="ListParagraph"/>
        <w:numPr>
          <w:ilvl w:val="1"/>
          <w:numId w:val="13"/>
        </w:numPr>
      </w:pPr>
      <w:proofErr w:type="gramStart"/>
      <w:r w:rsidRPr="005A1387">
        <w:t>fournissent</w:t>
      </w:r>
      <w:proofErr w:type="gramEnd"/>
      <w:r w:rsidRPr="005A1387">
        <w:t xml:space="preserve"> une feuille de route détaillée dans un format accessible lorsque la solution de TIC proposée n’est pas entièrement conforme à la norme EN 301 549 (2021) au moment de l’attribution du contrat. Dans ce cas, le contrat devrait contenir une date ferme à laquelle le fournisseur de la solution de TIC doit fournir la feuille de route. La feuille de route devrait comprendre :</w:t>
      </w:r>
    </w:p>
    <w:p w14:paraId="41BF4BFF" w14:textId="77777777" w:rsidR="00766FFF" w:rsidRPr="005A1387" w:rsidRDefault="00766FFF" w:rsidP="001508D0">
      <w:pPr>
        <w:pStyle w:val="ListParagraph"/>
        <w:numPr>
          <w:ilvl w:val="2"/>
          <w:numId w:val="14"/>
        </w:numPr>
      </w:pPr>
      <w:proofErr w:type="gramStart"/>
      <w:r w:rsidRPr="005A1387">
        <w:t>des</w:t>
      </w:r>
      <w:proofErr w:type="gramEnd"/>
      <w:r w:rsidRPr="005A1387">
        <w:t xml:space="preserve"> précisions sur la manière dont le ou les fournisseurs retenus de la solution de TIC corrigeront leur solution de TIC pour se conformer à la norme EN 301 549 (2021) dans le délai précisé dans le contrat; </w:t>
      </w:r>
    </w:p>
    <w:p w14:paraId="62D355C5" w14:textId="77777777" w:rsidR="00766FFF" w:rsidRPr="005A1387" w:rsidRDefault="00766FFF" w:rsidP="001508D0">
      <w:pPr>
        <w:pStyle w:val="ListParagraph"/>
        <w:numPr>
          <w:ilvl w:val="2"/>
          <w:numId w:val="14"/>
        </w:numPr>
      </w:pPr>
      <w:proofErr w:type="gramStart"/>
      <w:r w:rsidRPr="005A1387">
        <w:t>suffisamment</w:t>
      </w:r>
      <w:proofErr w:type="gramEnd"/>
      <w:r w:rsidRPr="005A1387">
        <w:t xml:space="preserve"> de détails pour surveiller les progrès et la livraison de la solution de TIC.</w:t>
      </w:r>
    </w:p>
    <w:p w14:paraId="608E4221" w14:textId="77777777" w:rsidR="00766FFF" w:rsidRPr="005A1387" w:rsidRDefault="00766FFF" w:rsidP="001508D0">
      <w:pPr>
        <w:pStyle w:val="ListParagraph"/>
        <w:numPr>
          <w:ilvl w:val="0"/>
          <w:numId w:val="13"/>
        </w:numPr>
      </w:pPr>
      <w:proofErr w:type="gramStart"/>
      <w:r w:rsidRPr="005A1387">
        <w:t>surveiller</w:t>
      </w:r>
      <w:proofErr w:type="gramEnd"/>
      <w:r w:rsidRPr="005A1387">
        <w:t>, de concert avec le propriétaire fonctionnel, les problèmes de rendement de l’entrepreneur. Cela comprend les problèmes concernant le respect des engagements envers l’accessibilité des TIC. Ces renseignements aideront à sélectionner les mesures appropriées pour aborder les problèmes documentés.</w:t>
      </w:r>
    </w:p>
    <w:p w14:paraId="4C8BC47A" w14:textId="77777777" w:rsidR="00766FFF" w:rsidRPr="007C0E2F" w:rsidRDefault="00766FFF" w:rsidP="00766FFF">
      <w:pPr>
        <w:pStyle w:val="Heading2"/>
      </w:pPr>
      <w:bookmarkStart w:id="18" w:name="_Exception_process"/>
      <w:bookmarkStart w:id="19" w:name="_Justification_for_accessibility"/>
      <w:bookmarkStart w:id="20" w:name="_Toc187907170"/>
      <w:bookmarkEnd w:id="18"/>
      <w:bookmarkEnd w:id="19"/>
      <w:r w:rsidRPr="007C0E2F">
        <w:t>Justification des décisions relatives à l’accessibilité</w:t>
      </w:r>
      <w:bookmarkEnd w:id="20"/>
    </w:p>
    <w:p w14:paraId="28FD6A04" w14:textId="77777777" w:rsidR="00766FFF" w:rsidRPr="007C0E2F" w:rsidRDefault="00766FFF" w:rsidP="00766FFF">
      <w:r w:rsidRPr="007C0E2F">
        <w:t>Dans la mesure du possible, les exigences d’accessibilité des TIC devraient être incluses dans tous les approvisionnements liés aux TIC. Le propriétaire fonctionnel ne devrait envisager d’adopter une approche progressive que lorsqu’il n’est pas possible de proposer une solution de TIC entièrement conforme au moment de la clôture des soumissions.</w:t>
      </w:r>
    </w:p>
    <w:p w14:paraId="1CD8F24C" w14:textId="77777777" w:rsidR="00766FFF" w:rsidRPr="007C0E2F" w:rsidRDefault="00766FFF" w:rsidP="00766FFF">
      <w:r w:rsidRPr="007C0E2F">
        <w:t>Conformément à la Directive sur la gestion de l’approvisionnement, le propriétaire fonctionnel doit fournir une justification écrite lorsqu’il n’inclut pas les exigences d’accessibilité dans l’approvisionnement. Cette justification devrait clairement expliquer les raisons et doit être conservée dans le dossier d’achat.</w:t>
      </w:r>
    </w:p>
    <w:p w14:paraId="49D41517" w14:textId="77777777" w:rsidR="00766FFF" w:rsidRPr="003D0FB3" w:rsidRDefault="00766FFF" w:rsidP="00766FFF">
      <w:r w:rsidRPr="003D0FB3">
        <w:t xml:space="preserve">Consultez </w:t>
      </w:r>
      <w:hyperlink w:anchor="_Where_to_find" w:history="1">
        <w:r w:rsidRPr="003D0FB3">
          <w:rPr>
            <w:rStyle w:val="Hyperlink"/>
          </w:rPr>
          <w:t>Où trouver de l’aide et des ressources</w:t>
        </w:r>
      </w:hyperlink>
      <w:r w:rsidRPr="003D0FB3">
        <w:t xml:space="preserve"> pour savoir :</w:t>
      </w:r>
    </w:p>
    <w:p w14:paraId="6839F822" w14:textId="77777777" w:rsidR="00766FFF" w:rsidRPr="003D0FB3" w:rsidRDefault="00766FFF" w:rsidP="001508D0">
      <w:pPr>
        <w:pStyle w:val="ListParagraph"/>
        <w:numPr>
          <w:ilvl w:val="0"/>
          <w:numId w:val="13"/>
        </w:numPr>
      </w:pPr>
      <w:proofErr w:type="gramStart"/>
      <w:r w:rsidRPr="003D0FB3">
        <w:t>quand</w:t>
      </w:r>
      <w:proofErr w:type="gramEnd"/>
      <w:r w:rsidRPr="003D0FB3">
        <w:t xml:space="preserve"> l’accessibilité ne s’applique peut-être pas; </w:t>
      </w:r>
    </w:p>
    <w:p w14:paraId="12F115F5" w14:textId="77777777" w:rsidR="00766FFF" w:rsidRPr="003D0FB3" w:rsidRDefault="00766FFF" w:rsidP="001508D0">
      <w:pPr>
        <w:pStyle w:val="ListParagraph"/>
        <w:numPr>
          <w:ilvl w:val="0"/>
          <w:numId w:val="13"/>
        </w:numPr>
      </w:pPr>
      <w:proofErr w:type="gramStart"/>
      <w:r w:rsidRPr="003D0FB3">
        <w:lastRenderedPageBreak/>
        <w:t>quand</w:t>
      </w:r>
      <w:proofErr w:type="gramEnd"/>
      <w:r w:rsidRPr="003D0FB3">
        <w:t xml:space="preserve"> utiliser une approche progressive.</w:t>
      </w:r>
    </w:p>
    <w:p w14:paraId="74DFA932" w14:textId="35DE5951" w:rsidR="00885675" w:rsidRPr="003D0FB3" w:rsidRDefault="00885675" w:rsidP="003D0FB3">
      <w:pPr>
        <w:pStyle w:val="Heading1"/>
      </w:pPr>
      <w:bookmarkStart w:id="21" w:name="_SSC_tools_and"/>
      <w:bookmarkStart w:id="22" w:name="_Shared_Services_Canada"/>
      <w:bookmarkStart w:id="23" w:name="_Toc187907171"/>
      <w:bookmarkEnd w:id="7"/>
      <w:bookmarkEnd w:id="21"/>
      <w:bookmarkEnd w:id="22"/>
      <w:r w:rsidRPr="003D0FB3">
        <w:t>Inform</w:t>
      </w:r>
      <w:r w:rsidR="00895B72" w:rsidRPr="003D0FB3">
        <w:t>er la communauté de fournisseurs</w:t>
      </w:r>
      <w:bookmarkEnd w:id="23"/>
    </w:p>
    <w:p w14:paraId="153CBE29" w14:textId="1865C0D5" w:rsidR="00007184" w:rsidRPr="003D0FB3" w:rsidRDefault="0043795C" w:rsidP="003D0FB3">
      <w:r w:rsidRPr="003D0FB3">
        <w:t>Les fournisseurs devraient s</w:t>
      </w:r>
      <w:r w:rsidR="00FE6A95" w:rsidRPr="003D0FB3">
        <w:t>’</w:t>
      </w:r>
      <w:r w:rsidRPr="003D0FB3">
        <w:t>attendre à ce que les approvisionnements liés aux TIC incluent les clauses d</w:t>
      </w:r>
      <w:r w:rsidR="00FE6A95" w:rsidRPr="003D0FB3">
        <w:t>’</w:t>
      </w:r>
      <w:r w:rsidRPr="003D0FB3">
        <w:t>accessibilité pertinentes de la norme EN 301 549 (2021), conformément à la Ligne directrice sur l</w:t>
      </w:r>
      <w:r w:rsidR="00FE6A95" w:rsidRPr="003D0FB3">
        <w:t>’</w:t>
      </w:r>
      <w:r w:rsidRPr="003D0FB3">
        <w:t>utilisabilité de la technologie de l</w:t>
      </w:r>
      <w:r w:rsidR="00FE6A95" w:rsidRPr="003D0FB3">
        <w:t>’</w:t>
      </w:r>
      <w:r w:rsidRPr="003D0FB3">
        <w:t>information par tous</w:t>
      </w:r>
      <w:r w:rsidR="00F72410">
        <w:t>.</w:t>
      </w:r>
    </w:p>
    <w:p w14:paraId="45C93AB6" w14:textId="27E71D95" w:rsidR="00845ECB" w:rsidRPr="003D0FB3" w:rsidRDefault="0043795C" w:rsidP="003D0FB3">
      <w:r w:rsidRPr="003D0FB3">
        <w:t xml:space="preserve">Les fournisseurs peuvent également consulter la </w:t>
      </w:r>
      <w:hyperlink r:id="rId32" w:history="1">
        <w:r w:rsidRPr="003D0FB3">
          <w:rPr>
            <w:rStyle w:val="Hyperlink"/>
          </w:rPr>
          <w:t>Boîte à outils de l</w:t>
        </w:r>
        <w:r w:rsidR="00FE6A95" w:rsidRPr="003D0FB3">
          <w:rPr>
            <w:rStyle w:val="Hyperlink"/>
          </w:rPr>
          <w:t>’</w:t>
        </w:r>
        <w:r w:rsidRPr="003D0FB3">
          <w:rPr>
            <w:rStyle w:val="Hyperlink"/>
          </w:rPr>
          <w:t>accessibilité numérique</w:t>
        </w:r>
      </w:hyperlink>
      <w:r w:rsidR="00845ECB" w:rsidRPr="003D0FB3">
        <w:t xml:space="preserve">. </w:t>
      </w:r>
      <w:r w:rsidRPr="003D0FB3">
        <w:t>Cette ressource accessible au public a été créée par des fonctionnaires fédéraux et comprend :</w:t>
      </w:r>
    </w:p>
    <w:p w14:paraId="67FE0F18" w14:textId="70C3F0B1" w:rsidR="00845ECB" w:rsidRPr="003D0FB3" w:rsidRDefault="0043795C" w:rsidP="001508D0">
      <w:pPr>
        <w:pStyle w:val="ListParagraph"/>
        <w:numPr>
          <w:ilvl w:val="0"/>
          <w:numId w:val="15"/>
        </w:numPr>
      </w:pPr>
      <w:proofErr w:type="gramStart"/>
      <w:r w:rsidRPr="003D0FB3">
        <w:t>des</w:t>
      </w:r>
      <w:proofErr w:type="gramEnd"/>
      <w:r w:rsidRPr="003D0FB3">
        <w:t xml:space="preserve"> ressources pour en savoir plus sur la norme </w:t>
      </w:r>
      <w:r w:rsidR="003C05C2" w:rsidRPr="003D0FB3">
        <w:t>EN 301 549</w:t>
      </w:r>
      <w:r w:rsidR="008D5B5A" w:rsidRPr="003D0FB3">
        <w:t xml:space="preserve"> </w:t>
      </w:r>
      <w:r w:rsidR="0011544B" w:rsidRPr="003D0FB3">
        <w:t>(2021)</w:t>
      </w:r>
      <w:r w:rsidR="00BE53E1" w:rsidRPr="003D0FB3">
        <w:t xml:space="preserve">; </w:t>
      </w:r>
    </w:p>
    <w:p w14:paraId="71BC89CA" w14:textId="413A3419" w:rsidR="006F4054" w:rsidRPr="003D0FB3" w:rsidRDefault="0043795C" w:rsidP="001508D0">
      <w:pPr>
        <w:pStyle w:val="ListParagraph"/>
        <w:numPr>
          <w:ilvl w:val="0"/>
          <w:numId w:val="15"/>
        </w:numPr>
      </w:pPr>
      <w:proofErr w:type="gramStart"/>
      <w:r w:rsidRPr="003D0FB3">
        <w:t>des</w:t>
      </w:r>
      <w:proofErr w:type="gramEnd"/>
      <w:r w:rsidRPr="003D0FB3">
        <w:t xml:space="preserve"> guides et des outils pour renforcer la capacité de créer du contenu et des solutions numériques accessibles.</w:t>
      </w:r>
    </w:p>
    <w:p w14:paraId="771459B8" w14:textId="7285D4E9" w:rsidR="00885675" w:rsidRPr="003D0FB3" w:rsidRDefault="00007184" w:rsidP="003D0FB3">
      <w:r w:rsidRPr="00313146">
        <w:rPr>
          <w:rStyle w:val="Strong"/>
        </w:rPr>
        <w:t>R</w:t>
      </w:r>
      <w:r w:rsidR="0043795C" w:rsidRPr="00313146">
        <w:rPr>
          <w:rStyle w:val="Strong"/>
        </w:rPr>
        <w:t>appel :</w:t>
      </w:r>
      <w:r w:rsidRPr="003D0FB3">
        <w:t xml:space="preserve"> </w:t>
      </w:r>
      <w:r w:rsidR="0043795C" w:rsidRPr="003D0FB3">
        <w:t>Les fournisseurs doivent adresser leurs questions au sujet des approvisionnements actifs à l</w:t>
      </w:r>
      <w:r w:rsidR="00FE6A95" w:rsidRPr="003D0FB3">
        <w:t>’</w:t>
      </w:r>
      <w:r w:rsidR="0043795C" w:rsidRPr="003D0FB3">
        <w:t xml:space="preserve">autorité contractante désignée dans les documents </w:t>
      </w:r>
      <w:r w:rsidR="00D5738D" w:rsidRPr="003D0FB3">
        <w:t>d</w:t>
      </w:r>
      <w:r w:rsidR="00FE6A95" w:rsidRPr="003D0FB3">
        <w:t>’</w:t>
      </w:r>
      <w:r w:rsidR="00D5738D" w:rsidRPr="003D0FB3">
        <w:t>invitation à soumissionner</w:t>
      </w:r>
      <w:r w:rsidR="00885675" w:rsidRPr="003D0FB3">
        <w:t>.</w:t>
      </w:r>
    </w:p>
    <w:p w14:paraId="68FE14DF" w14:textId="7C9B2FFE" w:rsidR="008F2E81" w:rsidRPr="003D0FB3" w:rsidRDefault="00D5738D" w:rsidP="003D0FB3">
      <w:pPr>
        <w:pStyle w:val="Heading1"/>
      </w:pPr>
      <w:bookmarkStart w:id="24" w:name="_Where_to_find"/>
      <w:bookmarkStart w:id="25" w:name="_Toc187907172"/>
      <w:bookmarkStart w:id="26" w:name="_Toc208490764"/>
      <w:bookmarkEnd w:id="24"/>
      <w:r w:rsidRPr="003D0FB3">
        <w:t>Où trouver de l</w:t>
      </w:r>
      <w:r w:rsidR="00FE6A95" w:rsidRPr="003D0FB3">
        <w:t>’</w:t>
      </w:r>
      <w:r w:rsidRPr="003D0FB3">
        <w:t>aide et des ressources</w:t>
      </w:r>
      <w:bookmarkEnd w:id="25"/>
    </w:p>
    <w:p w14:paraId="310AB7BE" w14:textId="56D36E70" w:rsidR="00477FF4" w:rsidRPr="00313146" w:rsidRDefault="00D5738D" w:rsidP="003D0FB3">
      <w:pPr>
        <w:pStyle w:val="Heading2"/>
      </w:pPr>
      <w:bookmarkStart w:id="27" w:name="_Shared_Services_Canada_1"/>
      <w:bookmarkStart w:id="28" w:name="_Toc187907173"/>
      <w:bookmarkEnd w:id="27"/>
      <w:r w:rsidRPr="00313146">
        <w:t>Outils et ressources pour le GC :</w:t>
      </w:r>
      <w:bookmarkEnd w:id="28"/>
    </w:p>
    <w:p w14:paraId="0337D030" w14:textId="756F155A" w:rsidR="00477FF4" w:rsidRPr="00313146" w:rsidRDefault="00E11432" w:rsidP="001508D0">
      <w:pPr>
        <w:pStyle w:val="ListParagraph"/>
        <w:numPr>
          <w:ilvl w:val="0"/>
          <w:numId w:val="16"/>
        </w:numPr>
      </w:pPr>
      <w:r w:rsidRPr="00313146">
        <w:t>R</w:t>
      </w:r>
      <w:r w:rsidR="00D5738D" w:rsidRPr="00313146">
        <w:t xml:space="preserve">enseignements mis uniquement à la disposition du </w:t>
      </w:r>
      <w:r w:rsidR="00477FF4" w:rsidRPr="00313146">
        <w:t>GC</w:t>
      </w:r>
      <w:r w:rsidR="00D5738D" w:rsidRPr="00313146">
        <w:t> :</w:t>
      </w:r>
    </w:p>
    <w:p w14:paraId="0F3A84F4" w14:textId="160D7E7B" w:rsidR="00477FF4" w:rsidRPr="00313146" w:rsidRDefault="00D5738D" w:rsidP="001508D0">
      <w:pPr>
        <w:pStyle w:val="ListParagraph"/>
        <w:numPr>
          <w:ilvl w:val="1"/>
          <w:numId w:val="16"/>
        </w:numPr>
      </w:pPr>
      <w:proofErr w:type="gramStart"/>
      <w:r w:rsidRPr="003D0FB3">
        <w:t>la</w:t>
      </w:r>
      <w:proofErr w:type="gramEnd"/>
      <w:r w:rsidRPr="003D0FB3">
        <w:t xml:space="preserve"> Boîte à outils pour l</w:t>
      </w:r>
      <w:r w:rsidR="00FE6A95" w:rsidRPr="003D0FB3">
        <w:t>’</w:t>
      </w:r>
      <w:r w:rsidRPr="003D0FB3">
        <w:t xml:space="preserve">approvisionnement en TIC accessibles de SPC disponible à </w:t>
      </w:r>
      <w:hyperlink r:id="rId33" w:history="1">
        <w:r w:rsidR="00477FF4" w:rsidRPr="003D0FB3">
          <w:rPr>
            <w:rStyle w:val="Hyperlink"/>
          </w:rPr>
          <w:t xml:space="preserve">Approvisionnement </w:t>
        </w:r>
        <w:r w:rsidR="00FE6A95" w:rsidRPr="003D0FB3">
          <w:rPr>
            <w:rStyle w:val="Hyperlink"/>
          </w:rPr>
          <w:t xml:space="preserve">– </w:t>
        </w:r>
        <w:r w:rsidR="00477FF4" w:rsidRPr="003D0FB3">
          <w:rPr>
            <w:rStyle w:val="Hyperlink"/>
          </w:rPr>
          <w:t>GCpedia</w:t>
        </w:r>
      </w:hyperlink>
      <w:r w:rsidR="0016356C" w:rsidRPr="003D0FB3">
        <w:t>.</w:t>
      </w:r>
    </w:p>
    <w:p w14:paraId="25ECBACB" w14:textId="3AC33535" w:rsidR="006D4879" w:rsidRPr="00D24D08" w:rsidRDefault="00D5738D" w:rsidP="007C7203">
      <w:pPr>
        <w:pStyle w:val="Heading2"/>
      </w:pPr>
      <w:bookmarkStart w:id="29" w:name="_Toc187907174"/>
      <w:r w:rsidRPr="00D24D08">
        <w:t>Outils et ressources pour le GC et à l</w:t>
      </w:r>
      <w:r w:rsidR="00FE6A95">
        <w:t>’</w:t>
      </w:r>
      <w:r w:rsidRPr="00D24D08">
        <w:t>externe :</w:t>
      </w:r>
      <w:bookmarkEnd w:id="29"/>
    </w:p>
    <w:p w14:paraId="530B2B01" w14:textId="492033C3" w:rsidR="00477FF4" w:rsidRPr="00313146" w:rsidRDefault="00E11432" w:rsidP="001508D0">
      <w:pPr>
        <w:pStyle w:val="ListParagraph"/>
        <w:numPr>
          <w:ilvl w:val="0"/>
          <w:numId w:val="16"/>
        </w:numPr>
      </w:pPr>
      <w:r w:rsidRPr="003D0FB3">
        <w:t>L</w:t>
      </w:r>
      <w:r w:rsidR="00D5738D" w:rsidRPr="003D0FB3">
        <w:t>es renseignements accessibles au public comprennent :</w:t>
      </w:r>
    </w:p>
    <w:p w14:paraId="6E7DB634" w14:textId="537F0DE4" w:rsidR="00477FF4" w:rsidRPr="00313146" w:rsidRDefault="00D5738D" w:rsidP="001508D0">
      <w:pPr>
        <w:pStyle w:val="ListParagraph"/>
        <w:numPr>
          <w:ilvl w:val="1"/>
          <w:numId w:val="16"/>
        </w:numPr>
      </w:pPr>
      <w:proofErr w:type="gramStart"/>
      <w:r w:rsidRPr="003D0FB3">
        <w:t>la</w:t>
      </w:r>
      <w:proofErr w:type="gramEnd"/>
      <w:r w:rsidRPr="003D0FB3">
        <w:t xml:space="preserve"> </w:t>
      </w:r>
      <w:hyperlink r:id="rId34" w:history="1">
        <w:r w:rsidRPr="003D0FB3">
          <w:rPr>
            <w:rStyle w:val="Hyperlink"/>
          </w:rPr>
          <w:t>Boîte à outils de l</w:t>
        </w:r>
        <w:r w:rsidR="00FE6A95" w:rsidRPr="003D0FB3">
          <w:rPr>
            <w:rStyle w:val="Hyperlink"/>
          </w:rPr>
          <w:t>’</w:t>
        </w:r>
        <w:r w:rsidRPr="003D0FB3">
          <w:rPr>
            <w:rStyle w:val="Hyperlink"/>
          </w:rPr>
          <w:t>accessibilité numérique</w:t>
        </w:r>
      </w:hyperlink>
      <w:r w:rsidR="00477FF4" w:rsidRPr="003D0FB3">
        <w:t xml:space="preserve"> </w:t>
      </w:r>
      <w:r w:rsidRPr="003D0FB3">
        <w:t>– un site Web externe pour :</w:t>
      </w:r>
    </w:p>
    <w:p w14:paraId="67C3D7DB" w14:textId="710DCE9D" w:rsidR="00477FF4" w:rsidRPr="00313146" w:rsidRDefault="00E11432" w:rsidP="001508D0">
      <w:pPr>
        <w:pStyle w:val="ListParagraph"/>
        <w:numPr>
          <w:ilvl w:val="2"/>
          <w:numId w:val="16"/>
        </w:numPr>
      </w:pPr>
      <w:hyperlink r:id="rId35" w:history="1">
        <w:proofErr w:type="gramStart"/>
        <w:r w:rsidRPr="00C8546F">
          <w:rPr>
            <w:rStyle w:val="Hyperlink"/>
          </w:rPr>
          <w:t>générer</w:t>
        </w:r>
        <w:proofErr w:type="gramEnd"/>
        <w:r w:rsidRPr="00C8546F">
          <w:rPr>
            <w:rStyle w:val="Hyperlink"/>
          </w:rPr>
          <w:t xml:space="preserve"> les exigences de la norme </w:t>
        </w:r>
        <w:r w:rsidR="00477FF4" w:rsidRPr="00C8546F">
          <w:rPr>
            <w:rStyle w:val="Hyperlink"/>
          </w:rPr>
          <w:t>EN 301 549 (2021)</w:t>
        </w:r>
      </w:hyperlink>
      <w:r w:rsidR="00477FF4" w:rsidRPr="00313146">
        <w:t xml:space="preserve"> </w:t>
      </w:r>
      <w:r w:rsidRPr="00313146">
        <w:t>qui sont pertinentes pour l</w:t>
      </w:r>
      <w:r w:rsidR="00FE6A95" w:rsidRPr="00313146">
        <w:t>’</w:t>
      </w:r>
      <w:r w:rsidRPr="00313146">
        <w:t>approvisionnement</w:t>
      </w:r>
      <w:r w:rsidR="00477FF4" w:rsidRPr="00313146">
        <w:t xml:space="preserve">; </w:t>
      </w:r>
    </w:p>
    <w:p w14:paraId="5F3CED35" w14:textId="4BA86667" w:rsidR="00477FF4" w:rsidRPr="00313146" w:rsidRDefault="00E11432" w:rsidP="001508D0">
      <w:pPr>
        <w:pStyle w:val="ListParagraph"/>
        <w:numPr>
          <w:ilvl w:val="2"/>
          <w:numId w:val="16"/>
        </w:numPr>
      </w:pPr>
      <w:proofErr w:type="gramStart"/>
      <w:r w:rsidRPr="003D0FB3">
        <w:t>examiner</w:t>
      </w:r>
      <w:proofErr w:type="gramEnd"/>
      <w:r w:rsidRPr="003D0FB3">
        <w:t xml:space="preserve"> toutes </w:t>
      </w:r>
      <w:hyperlink r:id="rId36" w:history="1">
        <w:r w:rsidRPr="00C71478">
          <w:rPr>
            <w:rStyle w:val="Hyperlink"/>
          </w:rPr>
          <w:t>les exigences pertinentes d</w:t>
        </w:r>
        <w:r w:rsidR="00FE6A95" w:rsidRPr="00C71478">
          <w:rPr>
            <w:rStyle w:val="Hyperlink"/>
          </w:rPr>
          <w:t>’</w:t>
        </w:r>
        <w:r w:rsidRPr="00C71478">
          <w:rPr>
            <w:rStyle w:val="Hyperlink"/>
          </w:rPr>
          <w:t xml:space="preserve">accessibilité des TIC de la norme </w:t>
        </w:r>
        <w:r w:rsidR="00477FF4" w:rsidRPr="00C71478">
          <w:rPr>
            <w:rStyle w:val="Hyperlink"/>
          </w:rPr>
          <w:t>EN 501 349 (2021)</w:t>
        </w:r>
      </w:hyperlink>
      <w:r w:rsidR="00477FF4" w:rsidRPr="003D0FB3">
        <w:t xml:space="preserve"> </w:t>
      </w:r>
      <w:r w:rsidRPr="003D0FB3">
        <w:t>pour les produits et services TIC</w:t>
      </w:r>
      <w:r w:rsidR="00477FF4" w:rsidRPr="003D0FB3">
        <w:t xml:space="preserve">; </w:t>
      </w:r>
    </w:p>
    <w:p w14:paraId="3F6505BC" w14:textId="5455584F" w:rsidR="00477FF4" w:rsidRPr="00313146" w:rsidRDefault="00E11432" w:rsidP="001508D0">
      <w:pPr>
        <w:pStyle w:val="ListParagraph"/>
        <w:numPr>
          <w:ilvl w:val="2"/>
          <w:numId w:val="16"/>
        </w:numPr>
      </w:pPr>
      <w:proofErr w:type="gramStart"/>
      <w:r w:rsidRPr="003D0FB3">
        <w:t>faire</w:t>
      </w:r>
      <w:proofErr w:type="gramEnd"/>
      <w:r w:rsidRPr="003D0FB3">
        <w:t xml:space="preserve"> référence à d</w:t>
      </w:r>
      <w:r w:rsidR="00FE6A95" w:rsidRPr="003D0FB3">
        <w:t>’</w:t>
      </w:r>
      <w:r w:rsidRPr="003D0FB3">
        <w:t>autres orientations en matière d</w:t>
      </w:r>
      <w:r w:rsidR="00FE6A95" w:rsidRPr="003D0FB3">
        <w:t>’</w:t>
      </w:r>
      <w:r w:rsidRPr="003D0FB3">
        <w:t>accessibilité, notamment en ce qui concerne l</w:t>
      </w:r>
      <w:r w:rsidR="00FE6A95" w:rsidRPr="003D0FB3">
        <w:t>’</w:t>
      </w:r>
      <w:r w:rsidRPr="003D0FB3">
        <w:t>accessibilité des documents.</w:t>
      </w:r>
    </w:p>
    <w:p w14:paraId="6D2973EB" w14:textId="5CE5FA9A" w:rsidR="006610D3" w:rsidRPr="003D0FB3" w:rsidRDefault="00E11432" w:rsidP="001508D0">
      <w:pPr>
        <w:pStyle w:val="ListParagraph"/>
        <w:numPr>
          <w:ilvl w:val="0"/>
          <w:numId w:val="16"/>
        </w:numPr>
      </w:pPr>
      <w:r w:rsidRPr="00313146">
        <w:rPr>
          <w:rStyle w:val="Strong"/>
        </w:rPr>
        <w:lastRenderedPageBreak/>
        <w:t>Programme d</w:t>
      </w:r>
      <w:r w:rsidR="00FE6A95" w:rsidRPr="00313146">
        <w:rPr>
          <w:rStyle w:val="Strong"/>
        </w:rPr>
        <w:t>’</w:t>
      </w:r>
      <w:r w:rsidRPr="00313146">
        <w:rPr>
          <w:rStyle w:val="Strong"/>
        </w:rPr>
        <w:t>accessibilité, d</w:t>
      </w:r>
      <w:r w:rsidR="00FE6A95" w:rsidRPr="00313146">
        <w:rPr>
          <w:rStyle w:val="Strong"/>
        </w:rPr>
        <w:t>’</w:t>
      </w:r>
      <w:r w:rsidRPr="00313146">
        <w:rPr>
          <w:rStyle w:val="Strong"/>
        </w:rPr>
        <w:t>adaptation et de technologie informatique adaptée de SPC</w:t>
      </w:r>
      <w:r w:rsidRPr="00313146">
        <w:t xml:space="preserve"> </w:t>
      </w:r>
      <w:r w:rsidRPr="003D0FB3">
        <w:t xml:space="preserve">– </w:t>
      </w:r>
      <w:r w:rsidR="00E14E67" w:rsidRPr="003D0FB3">
        <w:t>approvisionnements de SPC ou d</w:t>
      </w:r>
      <w:r w:rsidR="00FE6A95" w:rsidRPr="003D0FB3">
        <w:t>’</w:t>
      </w:r>
      <w:r w:rsidR="00E14E67" w:rsidRPr="003D0FB3">
        <w:t>un autre ministère ou organisme gouvernemental</w:t>
      </w:r>
      <w:r w:rsidR="006610D3" w:rsidRPr="003D0FB3">
        <w:t xml:space="preserve">. </w:t>
      </w:r>
      <w:proofErr w:type="gramStart"/>
      <w:r w:rsidR="006610D3" w:rsidRPr="00D02BE2">
        <w:rPr>
          <w:lang w:val="en-CA"/>
        </w:rPr>
        <w:t>Contact</w:t>
      </w:r>
      <w:r w:rsidR="00E14E67" w:rsidRPr="00D02BE2">
        <w:rPr>
          <w:lang w:val="en-CA"/>
        </w:rPr>
        <w:t> :</w:t>
      </w:r>
      <w:proofErr w:type="gramEnd"/>
      <w:r w:rsidR="006610D3" w:rsidRPr="00D02BE2">
        <w:rPr>
          <w:lang w:val="en-CA"/>
        </w:rPr>
        <w:t xml:space="preserve"> AAACT / AATIA (SSC/SPC) </w:t>
      </w:r>
      <w:hyperlink r:id="rId37" w:history="1">
        <w:r w:rsidR="006610D3" w:rsidRPr="00D02BE2">
          <w:rPr>
            <w:rStyle w:val="Hyperlink"/>
            <w:lang w:val="en-CA"/>
          </w:rPr>
          <w:t>aaact-aatia@ssc-spc.gc.ca</w:t>
        </w:r>
      </w:hyperlink>
      <w:r w:rsidR="00E14E67" w:rsidRPr="00D02BE2">
        <w:rPr>
          <w:lang w:val="en-CA"/>
        </w:rPr>
        <w:t xml:space="preserve">. </w:t>
      </w:r>
      <w:r w:rsidR="00E14E67" w:rsidRPr="003D0FB3">
        <w:t>A</w:t>
      </w:r>
      <w:r w:rsidR="006610D3" w:rsidRPr="003D0FB3">
        <w:t>A</w:t>
      </w:r>
      <w:r w:rsidR="00E14E67" w:rsidRPr="003D0FB3">
        <w:t>TIA</w:t>
      </w:r>
      <w:r w:rsidR="006610D3" w:rsidRPr="003D0FB3">
        <w:t xml:space="preserve"> </w:t>
      </w:r>
      <w:r w:rsidR="00E14E67" w:rsidRPr="003D0FB3">
        <w:t xml:space="preserve">peut vous aider à intégrer la norme </w:t>
      </w:r>
      <w:r w:rsidR="006610D3" w:rsidRPr="003D0FB3">
        <w:t xml:space="preserve">EN 301 549 </w:t>
      </w:r>
      <w:r w:rsidR="00E14E67" w:rsidRPr="003D0FB3">
        <w:t>dans les approvisionnements liés aux TIC</w:t>
      </w:r>
      <w:r w:rsidR="006610D3" w:rsidRPr="003D0FB3">
        <w:t>.</w:t>
      </w:r>
    </w:p>
    <w:p w14:paraId="413D1245" w14:textId="1418EA47" w:rsidR="00477FF4" w:rsidRPr="00313146" w:rsidRDefault="00E14E67" w:rsidP="003D0FB3">
      <w:pPr>
        <w:pStyle w:val="Heading2"/>
      </w:pPr>
      <w:bookmarkStart w:id="30" w:name="_Toc187907175"/>
      <w:r w:rsidRPr="003D0FB3">
        <w:t xml:space="preserve">Services partagés </w:t>
      </w:r>
      <w:r w:rsidR="00477FF4" w:rsidRPr="003D0FB3">
        <w:t>Canada</w:t>
      </w:r>
      <w:bookmarkEnd w:id="30"/>
    </w:p>
    <w:p w14:paraId="5EF2B2E1" w14:textId="14A89783" w:rsidR="00477FF4" w:rsidRPr="00313146" w:rsidRDefault="00E14E67" w:rsidP="001508D0">
      <w:pPr>
        <w:pStyle w:val="ListParagraph"/>
        <w:numPr>
          <w:ilvl w:val="0"/>
          <w:numId w:val="17"/>
        </w:numPr>
      </w:pPr>
      <w:r w:rsidRPr="003D0FB3">
        <w:t>Les autorités contractantes de SPC peuvent s</w:t>
      </w:r>
      <w:r w:rsidR="00FE6A95" w:rsidRPr="003D0FB3">
        <w:t>’</w:t>
      </w:r>
      <w:r w:rsidRPr="003D0FB3">
        <w:t>adresser à l</w:t>
      </w:r>
      <w:r w:rsidR="00FE6A95" w:rsidRPr="003D0FB3">
        <w:t>’</w:t>
      </w:r>
      <w:r w:rsidRPr="003D0FB3">
        <w:t xml:space="preserve">équipe de la </w:t>
      </w:r>
      <w:r w:rsidR="0007448A">
        <w:rPr>
          <w:szCs w:val="24"/>
          <w:lang w:val="fr-FR"/>
        </w:rPr>
        <w:t xml:space="preserve">des </w:t>
      </w:r>
      <w:r w:rsidR="0007448A" w:rsidRPr="00787CD4">
        <w:rPr>
          <w:rStyle w:val="Strong"/>
        </w:rPr>
        <w:t>initiatives stratégiques (IS)</w:t>
      </w:r>
      <w:r w:rsidR="00477FF4" w:rsidRPr="003D0FB3">
        <w:t xml:space="preserve"> </w:t>
      </w:r>
      <w:r w:rsidRPr="003D0FB3">
        <w:t>pour toute question d</w:t>
      </w:r>
      <w:r w:rsidR="00FE6A95" w:rsidRPr="003D0FB3">
        <w:t>’</w:t>
      </w:r>
      <w:r w:rsidRPr="003D0FB3">
        <w:t>approvisionnement</w:t>
      </w:r>
      <w:r w:rsidR="00477FF4" w:rsidRPr="003D0FB3">
        <w:t xml:space="preserve">. </w:t>
      </w:r>
      <w:r w:rsidR="00477FF4" w:rsidRPr="00313146">
        <w:t>Contact</w:t>
      </w:r>
      <w:r w:rsidRPr="00313146">
        <w:t> :</w:t>
      </w:r>
      <w:r w:rsidR="00477FF4" w:rsidRPr="003D0FB3">
        <w:t xml:space="preserve"> </w:t>
      </w:r>
      <w:r w:rsidR="0066442A">
        <w:rPr>
          <w:szCs w:val="24"/>
        </w:rPr>
        <w:t xml:space="preserve">SI / IS (SSC/SPC) </w:t>
      </w:r>
      <w:hyperlink r:id="rId38" w:history="1">
        <w:r w:rsidR="0066442A">
          <w:rPr>
            <w:rStyle w:val="Hyperlink"/>
            <w:szCs w:val="24"/>
          </w:rPr>
          <w:t>eitpstrategicinitiatives.initiativesstrategiquesatie@ssc-spc.gc.ca</w:t>
        </w:r>
      </w:hyperlink>
      <w:r w:rsidR="0016356C" w:rsidRPr="003D0FB3">
        <w:t>.</w:t>
      </w:r>
    </w:p>
    <w:p w14:paraId="6039AB1B" w14:textId="5E087B51" w:rsidR="00A87B97" w:rsidRPr="003D0FB3" w:rsidRDefault="00E14E67" w:rsidP="003D0FB3">
      <w:pPr>
        <w:pStyle w:val="Heading2"/>
      </w:pPr>
      <w:bookmarkStart w:id="31" w:name="_Toc187907176"/>
      <w:r w:rsidRPr="003D0FB3">
        <w:t xml:space="preserve">Services publics et Approvisionnement Canada </w:t>
      </w:r>
      <w:r w:rsidR="00A87B97" w:rsidRPr="003D0FB3">
        <w:t>(</w:t>
      </w:r>
      <w:r w:rsidRPr="003D0FB3">
        <w:t>S</w:t>
      </w:r>
      <w:r w:rsidR="00A87B97" w:rsidRPr="003D0FB3">
        <w:t>P</w:t>
      </w:r>
      <w:r w:rsidRPr="003D0FB3">
        <w:t>A</w:t>
      </w:r>
      <w:r w:rsidR="00A87B97" w:rsidRPr="003D0FB3">
        <w:t>C)</w:t>
      </w:r>
      <w:bookmarkEnd w:id="31"/>
      <w:r w:rsidR="00A87B97" w:rsidRPr="00313146">
        <w:t xml:space="preserve"> </w:t>
      </w:r>
    </w:p>
    <w:p w14:paraId="5EAEB6F7" w14:textId="797C5ADE" w:rsidR="00A87B97" w:rsidRPr="003D0FB3" w:rsidRDefault="00E14E67" w:rsidP="001508D0">
      <w:pPr>
        <w:pStyle w:val="ListParagraph"/>
        <w:numPr>
          <w:ilvl w:val="0"/>
          <w:numId w:val="17"/>
        </w:numPr>
      </w:pPr>
      <w:r w:rsidRPr="003D0FB3">
        <w:t>Les autorités contractantes de SPAC peuvent s</w:t>
      </w:r>
      <w:r w:rsidR="00FE6A95" w:rsidRPr="003D0FB3">
        <w:t>’</w:t>
      </w:r>
      <w:r w:rsidRPr="003D0FB3">
        <w:t xml:space="preserve">adresser au </w:t>
      </w:r>
      <w:r w:rsidRPr="00313146">
        <w:rPr>
          <w:rStyle w:val="Strong"/>
        </w:rPr>
        <w:t>Centre de ressources pour l</w:t>
      </w:r>
      <w:r w:rsidR="00FE6A95" w:rsidRPr="00313146">
        <w:rPr>
          <w:rStyle w:val="Strong"/>
        </w:rPr>
        <w:t>’</w:t>
      </w:r>
      <w:r w:rsidRPr="00313146">
        <w:rPr>
          <w:rStyle w:val="Strong"/>
        </w:rPr>
        <w:t>approvisionnement a</w:t>
      </w:r>
      <w:r w:rsidR="00A87B97" w:rsidRPr="00313146">
        <w:rPr>
          <w:rStyle w:val="Strong"/>
        </w:rPr>
        <w:t xml:space="preserve">ccessible </w:t>
      </w:r>
      <w:r w:rsidR="00A87B97" w:rsidRPr="003D0FB3">
        <w:t>(</w:t>
      </w:r>
      <w:r w:rsidRPr="003D0FB3">
        <w:t>CRAA</w:t>
      </w:r>
      <w:r w:rsidR="00A87B97" w:rsidRPr="003D0FB3">
        <w:t xml:space="preserve">). Contact : </w:t>
      </w:r>
      <w:r w:rsidR="00A87B97" w:rsidRPr="00313146">
        <w:t xml:space="preserve">PA CRA Accessible / AP Accessible PRC (TPSGC/PWGSC) </w:t>
      </w:r>
      <w:hyperlink r:id="rId39" w:history="1">
        <w:r w:rsidR="00A87B97" w:rsidRPr="003D0FB3">
          <w:rPr>
            <w:rStyle w:val="Hyperlink"/>
          </w:rPr>
          <w:t>TPSGC.PACRAAccessible-APAccessiblePRC.PWGSC@tpsgc-pwgsc.gc.ca</w:t>
        </w:r>
      </w:hyperlink>
      <w:r w:rsidR="0016356C" w:rsidRPr="003D0FB3">
        <w:t>.</w:t>
      </w:r>
    </w:p>
    <w:p w14:paraId="41260854" w14:textId="357E2133" w:rsidR="00243AE2" w:rsidRPr="003D0FB3" w:rsidRDefault="00E14E67" w:rsidP="003D0FB3">
      <w:pPr>
        <w:pStyle w:val="Heading1"/>
      </w:pPr>
      <w:bookmarkStart w:id="32" w:name="_Toc187907177"/>
      <w:r w:rsidRPr="003D0FB3">
        <w:t>Demandes de renseignements et commentaires au sujet du présent Guide</w:t>
      </w:r>
      <w:bookmarkEnd w:id="26"/>
      <w:bookmarkEnd w:id="32"/>
    </w:p>
    <w:p w14:paraId="6E999743" w14:textId="6BBCC380" w:rsidR="00243AE2" w:rsidRPr="003D0FB3" w:rsidRDefault="00416046" w:rsidP="003D0FB3">
      <w:r w:rsidRPr="003D0FB3">
        <w:t xml:space="preserve">Pour </w:t>
      </w:r>
      <w:r w:rsidR="00E14E67" w:rsidRPr="003D0FB3">
        <w:t>toute demande de renseignement ou tout commentaire au sujet du présent Guide :</w:t>
      </w:r>
    </w:p>
    <w:p w14:paraId="53F575DA" w14:textId="7BF589BB" w:rsidR="00406BAA" w:rsidRPr="001702E2" w:rsidRDefault="00416046" w:rsidP="003D0FB3">
      <w:pPr>
        <w:rPr>
          <w:rFonts w:ascii="Arial" w:hAnsi="Arial"/>
          <w:lang w:val="nl-BE"/>
        </w:rPr>
      </w:pPr>
      <w:bookmarkStart w:id="33" w:name="_References"/>
      <w:bookmarkStart w:id="34" w:name="_Toc201119471"/>
      <w:bookmarkStart w:id="35" w:name="_Toc208490765"/>
      <w:bookmarkEnd w:id="33"/>
      <w:r w:rsidRPr="00313146">
        <w:rPr>
          <w:lang w:val="nl-BE"/>
        </w:rPr>
        <w:t>Site Web :</w:t>
      </w:r>
      <w:r w:rsidR="00406BAA" w:rsidRPr="00313146">
        <w:rPr>
          <w:lang w:val="nl-BE"/>
        </w:rPr>
        <w:t xml:space="preserve"> </w:t>
      </w:r>
      <w:hyperlink r:id="rId40" w:history="1">
        <w:r w:rsidR="00636013">
          <w:rPr>
            <w:rStyle w:val="Hyperlink"/>
          </w:rPr>
          <w:t>Accessibilité, adaptation et technologie informatique adaptée (AATIA) - Canada.ca</w:t>
        </w:r>
      </w:hyperlink>
    </w:p>
    <w:p w14:paraId="0AB711BA" w14:textId="2E6CC952" w:rsidR="00406BAA" w:rsidRPr="00313146" w:rsidRDefault="00416046" w:rsidP="003D0FB3">
      <w:pPr>
        <w:rPr>
          <w:rFonts w:ascii="Arial" w:hAnsi="Arial"/>
        </w:rPr>
      </w:pPr>
      <w:r w:rsidRPr="00313146">
        <w:t>Courriel :</w:t>
      </w:r>
      <w:r w:rsidR="00406BAA" w:rsidRPr="003D0FB3">
        <w:t xml:space="preserve"> </w:t>
      </w:r>
      <w:hyperlink r:id="rId41" w:history="1">
        <w:r w:rsidR="00406BAA" w:rsidRPr="003D0FB3">
          <w:rPr>
            <w:rStyle w:val="Hyperlink"/>
          </w:rPr>
          <w:t>aaact-aatia@ssc-spc.gc.ca</w:t>
        </w:r>
      </w:hyperlink>
    </w:p>
    <w:p w14:paraId="3F9C75E2" w14:textId="1D361823" w:rsidR="00406BAA" w:rsidRPr="00313146" w:rsidRDefault="00416046" w:rsidP="003D0FB3">
      <w:pPr>
        <w:rPr>
          <w:rFonts w:ascii="Arial" w:hAnsi="Arial"/>
        </w:rPr>
      </w:pPr>
      <w:r w:rsidRPr="00313146">
        <w:t xml:space="preserve">Numéro sans frais : </w:t>
      </w:r>
      <w:r w:rsidR="00406BAA" w:rsidRPr="003D0FB3">
        <w:t>1-866-442-2228</w:t>
      </w:r>
    </w:p>
    <w:p w14:paraId="44DA9AB2" w14:textId="51ED8D91" w:rsidR="00243AE2" w:rsidRPr="003D0FB3" w:rsidRDefault="00243AE2" w:rsidP="003D0FB3">
      <w:pPr>
        <w:pStyle w:val="Heading1"/>
      </w:pPr>
      <w:bookmarkStart w:id="36" w:name="_References_[Needs_to"/>
      <w:bookmarkStart w:id="37" w:name="_Toc187907178"/>
      <w:bookmarkEnd w:id="36"/>
      <w:r w:rsidRPr="003D0FB3">
        <w:t>R</w:t>
      </w:r>
      <w:r w:rsidR="00416046" w:rsidRPr="003D0FB3">
        <w:t>éfé</w:t>
      </w:r>
      <w:r w:rsidRPr="003D0FB3">
        <w:t>rences</w:t>
      </w:r>
      <w:bookmarkEnd w:id="34"/>
      <w:bookmarkEnd w:id="35"/>
      <w:bookmarkEnd w:id="37"/>
    </w:p>
    <w:p w14:paraId="3EC3B737" w14:textId="4AB663D5" w:rsidR="005E3A4C" w:rsidRPr="003D0FB3" w:rsidRDefault="00416046" w:rsidP="003D0FB3">
      <w:pPr>
        <w:pStyle w:val="Heading2"/>
      </w:pPr>
      <w:bookmarkStart w:id="38" w:name="_Related_External_Standards"/>
      <w:bookmarkStart w:id="39" w:name="_Toc187907179"/>
      <w:bookmarkEnd w:id="38"/>
      <w:r w:rsidRPr="003D0FB3">
        <w:t>Normes et spécifications externes connexes</w:t>
      </w:r>
      <w:bookmarkEnd w:id="39"/>
    </w:p>
    <w:p w14:paraId="2E6C98B5" w14:textId="17BCEE23" w:rsidR="008C309C" w:rsidRPr="003D0FB3" w:rsidRDefault="00416046" w:rsidP="003D0FB3">
      <w:pPr>
        <w:pStyle w:val="Heading3"/>
      </w:pPr>
      <w:bookmarkStart w:id="40" w:name="_Toc187907180"/>
      <w:r w:rsidRPr="003D0FB3">
        <w:t>Hyperliens externes de SPC</w:t>
      </w:r>
      <w:bookmarkEnd w:id="40"/>
    </w:p>
    <w:p w14:paraId="1507DC05" w14:textId="54FD2B43" w:rsidR="001F6F2C" w:rsidRPr="003D0FB3" w:rsidRDefault="00416046" w:rsidP="001508D0">
      <w:pPr>
        <w:pStyle w:val="ListParagraph"/>
        <w:numPr>
          <w:ilvl w:val="0"/>
          <w:numId w:val="17"/>
        </w:numPr>
      </w:pPr>
      <w:hyperlink r:id="rId42" w:history="1">
        <w:r w:rsidRPr="002E067F">
          <w:rPr>
            <w:rStyle w:val="Hyperlink"/>
          </w:rPr>
          <w:t>Exigences d</w:t>
        </w:r>
        <w:r w:rsidR="00FE6A95" w:rsidRPr="002E067F">
          <w:rPr>
            <w:rStyle w:val="Hyperlink"/>
          </w:rPr>
          <w:t>’</w:t>
        </w:r>
        <w:r w:rsidRPr="002E067F">
          <w:rPr>
            <w:rStyle w:val="Hyperlink"/>
          </w:rPr>
          <w:t>accessibilité des TIC de SPC</w:t>
        </w:r>
      </w:hyperlink>
      <w:r w:rsidR="001F6F2C" w:rsidRPr="003D0FB3">
        <w:t xml:space="preserve"> (</w:t>
      </w:r>
      <w:r w:rsidRPr="003D0FB3">
        <w:t xml:space="preserve">fondées sur la norme </w:t>
      </w:r>
      <w:r w:rsidR="001F6F2C" w:rsidRPr="003D0FB3">
        <w:t>EN 301 549 (2021)</w:t>
      </w:r>
      <w:r w:rsidR="00544B28" w:rsidRPr="003D0FB3">
        <w:t>)</w:t>
      </w:r>
      <w:r w:rsidR="001F6F2C" w:rsidRPr="00313146">
        <w:t xml:space="preserve"> </w:t>
      </w:r>
    </w:p>
    <w:p w14:paraId="05F15AEA" w14:textId="32FE8C40" w:rsidR="008C309C" w:rsidRPr="003D0FB3" w:rsidRDefault="00416046" w:rsidP="003D0FB3">
      <w:pPr>
        <w:pStyle w:val="Heading3"/>
      </w:pPr>
      <w:bookmarkStart w:id="41" w:name="_Toc187907181"/>
      <w:r w:rsidRPr="003D0FB3">
        <w:lastRenderedPageBreak/>
        <w:t>Autres hyperliens sur l</w:t>
      </w:r>
      <w:r w:rsidR="00FE6A95" w:rsidRPr="003D0FB3">
        <w:t>’</w:t>
      </w:r>
      <w:r w:rsidRPr="003D0FB3">
        <w:t>accessibilité internationale</w:t>
      </w:r>
      <w:bookmarkEnd w:id="41"/>
    </w:p>
    <w:p w14:paraId="755880C2" w14:textId="0AF93B34" w:rsidR="005E3A4C" w:rsidRPr="003D0FB3" w:rsidRDefault="001F6F2C" w:rsidP="001508D0">
      <w:pPr>
        <w:pStyle w:val="ListParagraph"/>
        <w:numPr>
          <w:ilvl w:val="0"/>
          <w:numId w:val="17"/>
        </w:numPr>
      </w:pPr>
      <w:hyperlink r:id="rId43" w:history="1">
        <w:r w:rsidRPr="00313146">
          <w:rPr>
            <w:rStyle w:val="Hyperlink"/>
          </w:rPr>
          <w:t xml:space="preserve">EN 301 549 V3.2.1 (2021-03) </w:t>
        </w:r>
        <w:hyperlink r:id="rId44" w:history="1">
          <w:r w:rsidR="00416046" w:rsidRPr="00313146">
            <w:rPr>
              <w:rStyle w:val="Hyperlink"/>
            </w:rPr>
            <w:t>Norme européenne harmonisée – Exigences en matière d</w:t>
          </w:r>
          <w:r w:rsidR="00FE6A95" w:rsidRPr="00313146">
            <w:rPr>
              <w:rStyle w:val="Hyperlink"/>
            </w:rPr>
            <w:t>’</w:t>
          </w:r>
          <w:r w:rsidR="00416046" w:rsidRPr="00313146">
            <w:rPr>
              <w:rStyle w:val="Hyperlink"/>
            </w:rPr>
            <w:t>accessibilité applicables aux produits et services liés aux TIC</w:t>
          </w:r>
        </w:hyperlink>
        <w:r w:rsidR="00416046" w:rsidRPr="00313146">
          <w:rPr>
            <w:rStyle w:val="Hyperlink"/>
          </w:rPr>
          <w:t xml:space="preserve"> (en anglais seulement)</w:t>
        </w:r>
      </w:hyperlink>
    </w:p>
    <w:p w14:paraId="5F509320" w14:textId="558CCEE8" w:rsidR="005E3A4C" w:rsidRPr="003D0FB3" w:rsidRDefault="00453957" w:rsidP="001508D0">
      <w:pPr>
        <w:pStyle w:val="ListParagraph"/>
        <w:numPr>
          <w:ilvl w:val="0"/>
          <w:numId w:val="17"/>
        </w:numPr>
      </w:pPr>
      <w:hyperlink r:id="rId45" w:history="1">
        <w:r>
          <w:rPr>
            <w:rStyle w:val="Hyperlink"/>
          </w:rPr>
          <w:t>Convention relative aux droits des personnes en situation de handicap des Nations Unies (en anglais seulement)</w:t>
        </w:r>
      </w:hyperlink>
      <w:r w:rsidR="00E82BB7" w:rsidRPr="00313146">
        <w:t xml:space="preserve"> </w:t>
      </w:r>
    </w:p>
    <w:p w14:paraId="31292E2F" w14:textId="33BDD05C" w:rsidR="005E3A4C" w:rsidRPr="003D0FB3" w:rsidRDefault="00416046" w:rsidP="001508D0">
      <w:pPr>
        <w:pStyle w:val="ListParagraph"/>
        <w:numPr>
          <w:ilvl w:val="0"/>
          <w:numId w:val="17"/>
        </w:numPr>
      </w:pPr>
      <w:hyperlink r:id="rId46" w:history="1">
        <w:r w:rsidRPr="003D0FB3">
          <w:rPr>
            <w:rStyle w:val="Hyperlink"/>
          </w:rPr>
          <w:t>Règles pour l</w:t>
        </w:r>
        <w:r w:rsidR="00FE6A95" w:rsidRPr="003D0FB3">
          <w:rPr>
            <w:rStyle w:val="Hyperlink"/>
          </w:rPr>
          <w:t>’</w:t>
        </w:r>
        <w:r w:rsidRPr="003D0FB3">
          <w:rPr>
            <w:rStyle w:val="Hyperlink"/>
          </w:rPr>
          <w:t xml:space="preserve">accessibilité des contenus Web </w:t>
        </w:r>
        <w:r w:rsidR="00216D76" w:rsidRPr="003D0FB3">
          <w:rPr>
            <w:rStyle w:val="Hyperlink"/>
          </w:rPr>
          <w:t>(WCAG) 2.1</w:t>
        </w:r>
      </w:hyperlink>
      <w:r w:rsidR="00117905" w:rsidRPr="00313146">
        <w:t xml:space="preserve"> </w:t>
      </w:r>
      <w:r w:rsidR="00FE6A95" w:rsidRPr="00313146">
        <w:t xml:space="preserve">– </w:t>
      </w:r>
      <w:r w:rsidR="00117905" w:rsidRPr="00313146">
        <w:t>World Wide Web Consortium (W3C)</w:t>
      </w:r>
      <w:r w:rsidR="00216D76" w:rsidRPr="003D0FB3">
        <w:t xml:space="preserve"> </w:t>
      </w:r>
    </w:p>
    <w:p w14:paraId="4E5F8335" w14:textId="271F88D2" w:rsidR="00D0358B" w:rsidRPr="003D0FB3" w:rsidRDefault="00D0358B" w:rsidP="003D0FB3">
      <w:pPr>
        <w:pStyle w:val="Heading3"/>
      </w:pPr>
      <w:bookmarkStart w:id="42" w:name="_Toc187907182"/>
      <w:r w:rsidRPr="003D0FB3">
        <w:t>Go</w:t>
      </w:r>
      <w:r w:rsidR="008B40A0" w:rsidRPr="003D0FB3">
        <w:t xml:space="preserve">uvernement du </w:t>
      </w:r>
      <w:r w:rsidRPr="003D0FB3">
        <w:t>Canada</w:t>
      </w:r>
      <w:bookmarkEnd w:id="42"/>
    </w:p>
    <w:p w14:paraId="34D2541B" w14:textId="14EB62AC" w:rsidR="005E3A4C" w:rsidRPr="003D0FB3" w:rsidRDefault="008B40A0" w:rsidP="003D0FB3">
      <w:pPr>
        <w:pStyle w:val="Heading4"/>
      </w:pPr>
      <w:r w:rsidRPr="003D0FB3">
        <w:t>Lé</w:t>
      </w:r>
      <w:r w:rsidR="005E3A4C" w:rsidRPr="003D0FB3">
        <w:t>gislation</w:t>
      </w:r>
    </w:p>
    <w:p w14:paraId="52F83D4D" w14:textId="41628997" w:rsidR="00D46363" w:rsidRPr="00313146" w:rsidRDefault="00BC6433" w:rsidP="001508D0">
      <w:pPr>
        <w:pStyle w:val="ListParagraph"/>
        <w:numPr>
          <w:ilvl w:val="0"/>
          <w:numId w:val="18"/>
        </w:numPr>
        <w:rPr>
          <w:i/>
          <w:iCs/>
        </w:rPr>
      </w:pPr>
      <w:hyperlink r:id="rId47" w:history="1">
        <w:r w:rsidRPr="003D0FB3">
          <w:rPr>
            <w:rStyle w:val="Hyperlink"/>
            <w:i/>
            <w:iCs/>
          </w:rPr>
          <w:t>Loi canadienne sur l</w:t>
        </w:r>
        <w:r w:rsidR="00FE6A95" w:rsidRPr="003D0FB3">
          <w:rPr>
            <w:rStyle w:val="Hyperlink"/>
            <w:i/>
            <w:iCs/>
          </w:rPr>
          <w:t>’</w:t>
        </w:r>
        <w:r w:rsidRPr="003D0FB3">
          <w:rPr>
            <w:rStyle w:val="Hyperlink"/>
            <w:i/>
            <w:iCs/>
          </w:rPr>
          <w:t xml:space="preserve">accessibilité </w:t>
        </w:r>
        <w:r w:rsidRPr="00313146">
          <w:rPr>
            <w:rStyle w:val="Hyperlink"/>
            <w:i/>
            <w:iCs/>
          </w:rPr>
          <w:t>(justice.gc.ca)</w:t>
        </w:r>
      </w:hyperlink>
    </w:p>
    <w:p w14:paraId="5FF5F0E6" w14:textId="760682E5" w:rsidR="005E3A4C" w:rsidRPr="003D0FB3" w:rsidRDefault="00BC6433" w:rsidP="001508D0">
      <w:pPr>
        <w:pStyle w:val="ListParagraph"/>
        <w:numPr>
          <w:ilvl w:val="0"/>
          <w:numId w:val="18"/>
        </w:numPr>
      </w:pPr>
      <w:hyperlink r:id="rId48" w:history="1">
        <w:r w:rsidRPr="003D0FB3">
          <w:rPr>
            <w:rStyle w:val="Hyperlink"/>
          </w:rPr>
          <w:t>Charte canadienne des droits et libertés</w:t>
        </w:r>
      </w:hyperlink>
    </w:p>
    <w:p w14:paraId="79277F11" w14:textId="2EE08A72" w:rsidR="005E3A4C" w:rsidRPr="003D0FB3" w:rsidRDefault="00BC6433" w:rsidP="001508D0">
      <w:pPr>
        <w:pStyle w:val="ListParagraph"/>
        <w:numPr>
          <w:ilvl w:val="0"/>
          <w:numId w:val="18"/>
        </w:numPr>
        <w:rPr>
          <w:i/>
          <w:iCs/>
        </w:rPr>
      </w:pPr>
      <w:hyperlink r:id="rId49" w:history="1">
        <w:r w:rsidRPr="003D0FB3">
          <w:rPr>
            <w:rStyle w:val="Hyperlink"/>
            <w:i/>
            <w:iCs/>
          </w:rPr>
          <w:t>Loi canadienne sur les droits de la personne</w:t>
        </w:r>
      </w:hyperlink>
    </w:p>
    <w:p w14:paraId="7B42B55E" w14:textId="554DC500" w:rsidR="005E3A4C" w:rsidRPr="003D0FB3" w:rsidRDefault="00BC6433" w:rsidP="001508D0">
      <w:pPr>
        <w:pStyle w:val="ListParagraph"/>
        <w:numPr>
          <w:ilvl w:val="0"/>
          <w:numId w:val="18"/>
        </w:numPr>
        <w:rPr>
          <w:i/>
          <w:iCs/>
        </w:rPr>
      </w:pPr>
      <w:hyperlink r:id="rId50" w:history="1">
        <w:r w:rsidRPr="003D0FB3">
          <w:rPr>
            <w:rStyle w:val="Hyperlink"/>
            <w:i/>
            <w:iCs/>
          </w:rPr>
          <w:t>Loi sur la gestion des finances publiques</w:t>
        </w:r>
      </w:hyperlink>
    </w:p>
    <w:p w14:paraId="0D0DD43C" w14:textId="6C7D0144" w:rsidR="005E3A4C" w:rsidRPr="00973D5B" w:rsidRDefault="00BC6433" w:rsidP="00973D5B">
      <w:pPr>
        <w:pStyle w:val="Heading4"/>
      </w:pPr>
      <w:r w:rsidRPr="00973D5B">
        <w:t>Instruments de politique connexes</w:t>
      </w:r>
    </w:p>
    <w:p w14:paraId="607AE02B" w14:textId="348E1627" w:rsidR="007B2588" w:rsidRPr="003D0FB3" w:rsidRDefault="00BC6433" w:rsidP="001508D0">
      <w:pPr>
        <w:pStyle w:val="ListParagraph"/>
        <w:numPr>
          <w:ilvl w:val="0"/>
          <w:numId w:val="19"/>
        </w:numPr>
      </w:pPr>
      <w:hyperlink r:id="rId51" w:history="1">
        <w:r w:rsidRPr="003D0FB3">
          <w:rPr>
            <w:rStyle w:val="Hyperlink"/>
          </w:rPr>
          <w:t>Politique sur les services et le numérique</w:t>
        </w:r>
      </w:hyperlink>
    </w:p>
    <w:p w14:paraId="1F0DB2DC" w14:textId="038C8592" w:rsidR="00AC47F1" w:rsidRPr="00313146" w:rsidRDefault="00BC6433" w:rsidP="001508D0">
      <w:pPr>
        <w:pStyle w:val="ListParagraph"/>
        <w:numPr>
          <w:ilvl w:val="0"/>
          <w:numId w:val="19"/>
        </w:numPr>
      </w:pPr>
      <w:hyperlink r:id="rId52" w:history="1">
        <w:r w:rsidRPr="003D0FB3">
          <w:rPr>
            <w:rStyle w:val="Hyperlink"/>
          </w:rPr>
          <w:t>Directive sur les services et le numérique</w:t>
        </w:r>
      </w:hyperlink>
    </w:p>
    <w:p w14:paraId="7284E590" w14:textId="4469680F" w:rsidR="00A30CC0" w:rsidRPr="00313146" w:rsidRDefault="00BC6433" w:rsidP="001508D0">
      <w:pPr>
        <w:pStyle w:val="ListParagraph"/>
        <w:numPr>
          <w:ilvl w:val="0"/>
          <w:numId w:val="19"/>
        </w:numPr>
      </w:pPr>
      <w:hyperlink r:id="rId53" w:history="1">
        <w:r w:rsidRPr="003D0FB3">
          <w:rPr>
            <w:rStyle w:val="Hyperlink"/>
          </w:rPr>
          <w:t>Politique sur la planification et la gestion des investissements</w:t>
        </w:r>
      </w:hyperlink>
    </w:p>
    <w:p w14:paraId="51DD0534" w14:textId="0CD685E2" w:rsidR="005E3A4C" w:rsidRPr="003D0FB3" w:rsidRDefault="00BC6433" w:rsidP="001508D0">
      <w:pPr>
        <w:pStyle w:val="ListParagraph"/>
        <w:numPr>
          <w:ilvl w:val="0"/>
          <w:numId w:val="19"/>
        </w:numPr>
      </w:pPr>
      <w:hyperlink r:id="rId54" w:history="1">
        <w:r w:rsidRPr="003D0FB3">
          <w:rPr>
            <w:rStyle w:val="Hyperlink"/>
          </w:rPr>
          <w:t>Politique sur les communications et l</w:t>
        </w:r>
        <w:r w:rsidR="00FE6A95" w:rsidRPr="003D0FB3">
          <w:rPr>
            <w:rStyle w:val="Hyperlink"/>
          </w:rPr>
          <w:t>’</w:t>
        </w:r>
        <w:r w:rsidRPr="003D0FB3">
          <w:rPr>
            <w:rStyle w:val="Hyperlink"/>
          </w:rPr>
          <w:t>image de marque</w:t>
        </w:r>
      </w:hyperlink>
    </w:p>
    <w:p w14:paraId="271D71D6" w14:textId="7684AEC1" w:rsidR="005E3A4C" w:rsidRPr="003D0FB3" w:rsidRDefault="00BC6433" w:rsidP="001508D0">
      <w:pPr>
        <w:pStyle w:val="ListParagraph"/>
        <w:numPr>
          <w:ilvl w:val="0"/>
          <w:numId w:val="19"/>
        </w:numPr>
      </w:pPr>
      <w:hyperlink r:id="rId55" w:history="1">
        <w:r w:rsidRPr="003D0FB3">
          <w:rPr>
            <w:rStyle w:val="Hyperlink"/>
          </w:rPr>
          <w:t>Code de valeurs et d</w:t>
        </w:r>
        <w:r w:rsidR="00FE6A95" w:rsidRPr="003D0FB3">
          <w:rPr>
            <w:rStyle w:val="Hyperlink"/>
          </w:rPr>
          <w:t>’</w:t>
        </w:r>
        <w:r w:rsidRPr="003D0FB3">
          <w:rPr>
            <w:rStyle w:val="Hyperlink"/>
          </w:rPr>
          <w:t>éthique du secteur public</w:t>
        </w:r>
      </w:hyperlink>
    </w:p>
    <w:p w14:paraId="1A69F294" w14:textId="07714A01" w:rsidR="00A4306F" w:rsidRPr="00313146" w:rsidRDefault="00BC6433" w:rsidP="001508D0">
      <w:pPr>
        <w:pStyle w:val="ListParagraph"/>
        <w:numPr>
          <w:ilvl w:val="0"/>
          <w:numId w:val="19"/>
        </w:numPr>
      </w:pPr>
      <w:hyperlink r:id="rId56" w:history="1">
        <w:r w:rsidRPr="003D0FB3">
          <w:rPr>
            <w:rStyle w:val="Hyperlink"/>
          </w:rPr>
          <w:t>Directive sur la gestion de l</w:t>
        </w:r>
        <w:r w:rsidR="00FE6A95" w:rsidRPr="003D0FB3">
          <w:rPr>
            <w:rStyle w:val="Hyperlink"/>
          </w:rPr>
          <w:t>’</w:t>
        </w:r>
        <w:r w:rsidRPr="003D0FB3">
          <w:rPr>
            <w:rStyle w:val="Hyperlink"/>
          </w:rPr>
          <w:t>approvisionnement</w:t>
        </w:r>
      </w:hyperlink>
    </w:p>
    <w:p w14:paraId="5AEB869E" w14:textId="07E82130" w:rsidR="00071D91" w:rsidRPr="00313146" w:rsidRDefault="00BC6433" w:rsidP="001508D0">
      <w:pPr>
        <w:pStyle w:val="ListParagraph"/>
        <w:numPr>
          <w:ilvl w:val="0"/>
          <w:numId w:val="19"/>
        </w:numPr>
      </w:pPr>
      <w:hyperlink r:id="rId57" w:history="1">
        <w:r w:rsidRPr="003D0FB3">
          <w:rPr>
            <w:rStyle w:val="Hyperlink"/>
          </w:rPr>
          <w:t>Clauses et conditions uniformisées d</w:t>
        </w:r>
        <w:r w:rsidR="00FE6A95" w:rsidRPr="003D0FB3">
          <w:rPr>
            <w:rStyle w:val="Hyperlink"/>
          </w:rPr>
          <w:t>’</w:t>
        </w:r>
        <w:r w:rsidRPr="003D0FB3">
          <w:rPr>
            <w:rStyle w:val="Hyperlink"/>
          </w:rPr>
          <w:t>achat</w:t>
        </w:r>
      </w:hyperlink>
    </w:p>
    <w:p w14:paraId="36254F45" w14:textId="19B5819F" w:rsidR="004F6C83" w:rsidRPr="00313146" w:rsidRDefault="00BC6433" w:rsidP="001508D0">
      <w:pPr>
        <w:pStyle w:val="ListParagraph"/>
        <w:numPr>
          <w:ilvl w:val="0"/>
          <w:numId w:val="19"/>
        </w:numPr>
      </w:pPr>
      <w:hyperlink r:id="rId58" w:history="1">
        <w:r w:rsidRPr="003D0FB3">
          <w:rPr>
            <w:rStyle w:val="Hyperlink"/>
          </w:rPr>
          <w:t>Norme sur l</w:t>
        </w:r>
        <w:r w:rsidR="00FE6A95" w:rsidRPr="003D0FB3">
          <w:rPr>
            <w:rStyle w:val="Hyperlink"/>
          </w:rPr>
          <w:t>’</w:t>
        </w:r>
        <w:r w:rsidRPr="003D0FB3">
          <w:rPr>
            <w:rStyle w:val="Hyperlink"/>
          </w:rPr>
          <w:t>accessibilité des sites Web</w:t>
        </w:r>
      </w:hyperlink>
    </w:p>
    <w:p w14:paraId="3F5B55B6" w14:textId="265DC7A9" w:rsidR="005E3A4C" w:rsidRPr="00973D5B" w:rsidRDefault="00BC6433" w:rsidP="00973D5B">
      <w:pPr>
        <w:pStyle w:val="Heading4"/>
      </w:pPr>
      <w:r w:rsidRPr="00973D5B">
        <w:t>Orientation</w:t>
      </w:r>
    </w:p>
    <w:p w14:paraId="1946FA4F" w14:textId="354307A2" w:rsidR="003D3F19" w:rsidRPr="00313146" w:rsidRDefault="00D24D08" w:rsidP="001508D0">
      <w:pPr>
        <w:pStyle w:val="ListParagraph"/>
        <w:numPr>
          <w:ilvl w:val="0"/>
          <w:numId w:val="20"/>
        </w:numPr>
      </w:pPr>
      <w:hyperlink r:id="rId59" w:history="1">
        <w:r w:rsidRPr="00973D5B">
          <w:rPr>
            <w:rStyle w:val="Hyperlink"/>
          </w:rPr>
          <w:t>Ligne directrice sur l</w:t>
        </w:r>
        <w:r w:rsidR="00FE6A95" w:rsidRPr="00973D5B">
          <w:rPr>
            <w:rStyle w:val="Hyperlink"/>
          </w:rPr>
          <w:t>’</w:t>
        </w:r>
        <w:r w:rsidRPr="00973D5B">
          <w:rPr>
            <w:rStyle w:val="Hyperlink"/>
          </w:rPr>
          <w:t>utilisabilité de la technologie de l</w:t>
        </w:r>
        <w:r w:rsidR="00FE6A95" w:rsidRPr="00973D5B">
          <w:rPr>
            <w:rStyle w:val="Hyperlink"/>
          </w:rPr>
          <w:t>’</w:t>
        </w:r>
        <w:r w:rsidRPr="00973D5B">
          <w:rPr>
            <w:rStyle w:val="Hyperlink"/>
          </w:rPr>
          <w:t xml:space="preserve">information (TI) par tous </w:t>
        </w:r>
        <w:r w:rsidR="00FE6A95" w:rsidRPr="00973D5B">
          <w:rPr>
            <w:rStyle w:val="Hyperlink"/>
          </w:rPr>
          <w:t xml:space="preserve">– </w:t>
        </w:r>
        <w:r w:rsidRPr="00973D5B">
          <w:rPr>
            <w:rStyle w:val="Hyperlink"/>
          </w:rPr>
          <w:t>Canada.ca</w:t>
        </w:r>
      </w:hyperlink>
    </w:p>
    <w:p w14:paraId="2DF3EA2E" w14:textId="558623AA" w:rsidR="005E3A4C" w:rsidRPr="00973D5B" w:rsidRDefault="00D24D08" w:rsidP="001508D0">
      <w:pPr>
        <w:pStyle w:val="ListParagraph"/>
        <w:numPr>
          <w:ilvl w:val="0"/>
          <w:numId w:val="20"/>
        </w:numPr>
      </w:pPr>
      <w:hyperlink r:id="rId60" w:history="1">
        <w:r w:rsidRPr="00973D5B">
          <w:rPr>
            <w:rStyle w:val="Hyperlink"/>
          </w:rPr>
          <w:t>Rien sans nous : Stratégie sur l</w:t>
        </w:r>
        <w:r w:rsidR="00FE6A95" w:rsidRPr="00973D5B">
          <w:rPr>
            <w:rStyle w:val="Hyperlink"/>
          </w:rPr>
          <w:t>’</w:t>
        </w:r>
        <w:r w:rsidRPr="00973D5B">
          <w:rPr>
            <w:rStyle w:val="Hyperlink"/>
          </w:rPr>
          <w:t>accessibilité au sein de la fonction publique du Canada</w:t>
        </w:r>
      </w:hyperlink>
    </w:p>
    <w:p w14:paraId="016BAFFF" w14:textId="67B07534" w:rsidR="005E3A4C" w:rsidRPr="00973D5B" w:rsidRDefault="00D24D08" w:rsidP="001508D0">
      <w:pPr>
        <w:pStyle w:val="ListParagraph"/>
        <w:numPr>
          <w:ilvl w:val="0"/>
          <w:numId w:val="20"/>
        </w:numPr>
      </w:pPr>
      <w:hyperlink r:id="rId61" w:history="1">
        <w:r w:rsidRPr="00973D5B">
          <w:rPr>
            <w:rStyle w:val="Hyperlink"/>
          </w:rPr>
          <w:t xml:space="preserve">Directives sur les normes relatives au numérique du gouvernement du Canada </w:t>
        </w:r>
      </w:hyperlink>
    </w:p>
    <w:p w14:paraId="436AC189" w14:textId="7ED032E0" w:rsidR="00243AE2" w:rsidRPr="00973D5B" w:rsidRDefault="00243AE2" w:rsidP="00973D5B">
      <w:pPr>
        <w:pStyle w:val="Heading1"/>
      </w:pPr>
      <w:bookmarkStart w:id="43" w:name="_Definitions"/>
      <w:bookmarkStart w:id="44" w:name="_Toc208490766"/>
      <w:bookmarkStart w:id="45" w:name="_Toc187907183"/>
      <w:bookmarkEnd w:id="43"/>
      <w:r w:rsidRPr="00973D5B">
        <w:t>D</w:t>
      </w:r>
      <w:r w:rsidR="00D24D08" w:rsidRPr="00973D5B">
        <w:t>é</w:t>
      </w:r>
      <w:r w:rsidRPr="00973D5B">
        <w:t>finitions</w:t>
      </w:r>
      <w:bookmarkEnd w:id="44"/>
      <w:bookmarkEnd w:id="45"/>
    </w:p>
    <w:p w14:paraId="212176B6" w14:textId="73792207" w:rsidR="005477E7" w:rsidRPr="00313146" w:rsidRDefault="00D24D08" w:rsidP="00973D5B">
      <w:r w:rsidRPr="00313146">
        <w:t>En plus des définitions ci-dessous, vous trouverez des définitions utiles à la compréhension du présent guide à l</w:t>
      </w:r>
      <w:r w:rsidR="00FE6A95" w:rsidRPr="00313146">
        <w:t>’</w:t>
      </w:r>
      <w:r w:rsidRPr="00313146">
        <w:t>annexe C de la</w:t>
      </w:r>
      <w:r w:rsidR="005477E7" w:rsidRPr="00313146">
        <w:t xml:space="preserve"> </w:t>
      </w:r>
      <w:hyperlink r:id="rId62" w:history="1">
        <w:r w:rsidRPr="00313146">
          <w:rPr>
            <w:rStyle w:val="Hyperlink"/>
          </w:rPr>
          <w:t>Politique sur la planification et la gestion des investissements</w:t>
        </w:r>
      </w:hyperlink>
      <w:r w:rsidRPr="00973D5B">
        <w:t>.</w:t>
      </w:r>
    </w:p>
    <w:p w14:paraId="71CBF2B7" w14:textId="1CDAF204" w:rsidR="0053673F" w:rsidRPr="00973D5B" w:rsidRDefault="007132A5" w:rsidP="00973D5B">
      <w:r w:rsidRPr="00973D5B">
        <w:rPr>
          <w:rStyle w:val="Strong"/>
        </w:rPr>
        <w:t>Accessibilit</w:t>
      </w:r>
      <w:r w:rsidR="00D24D08" w:rsidRPr="00973D5B">
        <w:rPr>
          <w:rStyle w:val="Strong"/>
        </w:rPr>
        <w:t>é</w:t>
      </w:r>
      <w:r w:rsidRPr="00313146">
        <w:t xml:space="preserve"> </w:t>
      </w:r>
      <w:r w:rsidR="00D24D08" w:rsidRPr="00973D5B">
        <w:t>– « degré selon lequel des produits, des systèmes, des services, des environnements et des installations peuvent être utilisés par des personnes issues d</w:t>
      </w:r>
      <w:r w:rsidR="00FE6A95" w:rsidRPr="00973D5B">
        <w:t>’</w:t>
      </w:r>
      <w:r w:rsidR="00D24D08" w:rsidRPr="00973D5B">
        <w:t>une population ayant le plus large éventail possible de besoins, de caractéristiques et de capacités dans des contextes d</w:t>
      </w:r>
      <w:r w:rsidR="00FE6A95" w:rsidRPr="00973D5B">
        <w:t>’</w:t>
      </w:r>
      <w:r w:rsidR="00D24D08" w:rsidRPr="00973D5B">
        <w:t>utilisation identifiés (de l</w:t>
      </w:r>
      <w:r w:rsidR="00FE6A95" w:rsidRPr="00973D5B">
        <w:t>’</w:t>
      </w:r>
      <w:r w:rsidR="00D24D08" w:rsidRPr="00973D5B">
        <w:t>ISO 9241-11:2018 [i.15])</w:t>
      </w:r>
      <w:r w:rsidR="009137F5" w:rsidRPr="00973D5B">
        <w:t>.</w:t>
      </w:r>
    </w:p>
    <w:p w14:paraId="4ABBEAA0" w14:textId="373CD8D3" w:rsidR="008E6E6B" w:rsidRPr="00973D5B" w:rsidRDefault="008E6E6B" w:rsidP="00313146">
      <w:pPr>
        <w:pStyle w:val="ListParagraph"/>
      </w:pPr>
      <w:r w:rsidRPr="00973D5B">
        <w:t>NOTE 1 : Le contexte d</w:t>
      </w:r>
      <w:r w:rsidR="00FE6A95" w:rsidRPr="00973D5B">
        <w:t>’</w:t>
      </w:r>
      <w:r w:rsidRPr="00973D5B">
        <w:t>utilisation comprend l</w:t>
      </w:r>
      <w:r w:rsidR="00FE6A95" w:rsidRPr="00973D5B">
        <w:t>’</w:t>
      </w:r>
      <w:r w:rsidRPr="00973D5B">
        <w:t>utilisation directe et l</w:t>
      </w:r>
      <w:r w:rsidR="00FE6A95" w:rsidRPr="00973D5B">
        <w:t>’</w:t>
      </w:r>
      <w:r w:rsidRPr="00973D5B">
        <w:t>utilisation assistée par des technologies d</w:t>
      </w:r>
      <w:r w:rsidR="00FE6A95" w:rsidRPr="00973D5B">
        <w:t>’</w:t>
      </w:r>
      <w:r w:rsidRPr="00973D5B">
        <w:t>assistance.</w:t>
      </w:r>
    </w:p>
    <w:p w14:paraId="0A6701FA" w14:textId="1757289E" w:rsidR="00B12EF2" w:rsidRPr="00D24D08" w:rsidRDefault="008E6E6B" w:rsidP="00313146">
      <w:pPr>
        <w:pStyle w:val="ListParagraph"/>
      </w:pPr>
      <w:r w:rsidRPr="00973D5B">
        <w:t>NOTE 2 : Le contexte dans lequel la TIC est utilisée peut affecter son accessibilité générale. Ce contexte pourrait inclure d</w:t>
      </w:r>
      <w:r w:rsidR="00FE6A95" w:rsidRPr="00973D5B">
        <w:t>’</w:t>
      </w:r>
      <w:r w:rsidRPr="00973D5B">
        <w:t>autres produits et services avec lesquels la TIC peut interagir</w:t>
      </w:r>
      <w:r w:rsidR="009137F5" w:rsidRPr="00973D5B">
        <w:t>. »</w:t>
      </w:r>
      <w:r w:rsidR="0053673F" w:rsidRPr="00D24D08">
        <w:rPr>
          <w:rStyle w:val="FootnoteReference"/>
        </w:rPr>
        <w:footnoteReference w:id="2"/>
      </w:r>
    </w:p>
    <w:p w14:paraId="5A517BC7" w14:textId="68752531" w:rsidR="007132A5" w:rsidRPr="00D24D08" w:rsidRDefault="008E6E6B" w:rsidP="005477E7">
      <w:pPr>
        <w:rPr>
          <w:rFonts w:cs="Arial"/>
          <w:szCs w:val="24"/>
        </w:rPr>
      </w:pPr>
      <w:r w:rsidRPr="009C1198">
        <w:rPr>
          <w:rStyle w:val="Strong"/>
        </w:rPr>
        <w:t>Rapports de conformité de l</w:t>
      </w:r>
      <w:r w:rsidR="00FE6A95" w:rsidRPr="009C1198">
        <w:rPr>
          <w:rStyle w:val="Strong"/>
        </w:rPr>
        <w:t>’</w:t>
      </w:r>
      <w:r w:rsidRPr="009C1198">
        <w:rPr>
          <w:rStyle w:val="Strong"/>
        </w:rPr>
        <w:t>accessibilité fondé</w:t>
      </w:r>
      <w:r w:rsidR="009137F5" w:rsidRPr="009C1198">
        <w:rPr>
          <w:rStyle w:val="Strong"/>
        </w:rPr>
        <w:t>s</w:t>
      </w:r>
      <w:r w:rsidRPr="009C1198">
        <w:rPr>
          <w:rStyle w:val="Strong"/>
        </w:rPr>
        <w:t xml:space="preserve"> sur le modèle volontaire d</w:t>
      </w:r>
      <w:r w:rsidR="00FE6A95" w:rsidRPr="009C1198">
        <w:rPr>
          <w:rStyle w:val="Strong"/>
        </w:rPr>
        <w:t>’</w:t>
      </w:r>
      <w:r w:rsidRPr="009C1198">
        <w:rPr>
          <w:rStyle w:val="Strong"/>
        </w:rPr>
        <w:t>accessibilité des produits</w:t>
      </w:r>
      <w:r w:rsidRPr="00313146">
        <w:t xml:space="preserve"> </w:t>
      </w:r>
      <w:r w:rsidR="00070F20" w:rsidRPr="00973D5B">
        <w:t>–</w:t>
      </w:r>
      <w:r w:rsidR="007132A5" w:rsidRPr="00973D5B">
        <w:t xml:space="preserve"> </w:t>
      </w:r>
      <w:r w:rsidRPr="00973D5B">
        <w:t>« Le rapport de conformité de l</w:t>
      </w:r>
      <w:r w:rsidR="00FE6A95" w:rsidRPr="00973D5B">
        <w:t>’</w:t>
      </w:r>
      <w:r w:rsidRPr="00973D5B">
        <w:t>accessibilité (RCA) fondé sur le VPAT</w:t>
      </w:r>
      <w:r w:rsidRPr="00313146">
        <w:rPr>
          <w:vertAlign w:val="superscript"/>
        </w:rPr>
        <w:t>®</w:t>
      </w:r>
      <w:r w:rsidRPr="00973D5B">
        <w:t xml:space="preserve"> de l</w:t>
      </w:r>
      <w:r w:rsidR="00FE6A95" w:rsidRPr="00973D5B">
        <w:t>’</w:t>
      </w:r>
      <w:r w:rsidRPr="00973D5B">
        <w:t>ITI est le principal format de rapport mondial permettant aux acheteurs et aux vendeurs de reconnaître les produits et services des technologies de l</w:t>
      </w:r>
      <w:r w:rsidR="00FE6A95" w:rsidRPr="00973D5B">
        <w:t>’</w:t>
      </w:r>
      <w:r w:rsidRPr="00973D5B">
        <w:t>information et des communications (TIC) présentant des caractéristiques d</w:t>
      </w:r>
      <w:r w:rsidR="00FE6A95" w:rsidRPr="00973D5B">
        <w:t>’</w:t>
      </w:r>
      <w:r w:rsidRPr="00973D5B">
        <w:t>accessibilité. La version 2 du VPAT</w:t>
      </w:r>
      <w:r w:rsidR="005A1387" w:rsidRPr="009C1198">
        <w:rPr>
          <w:vertAlign w:val="superscript"/>
        </w:rPr>
        <w:t>®</w:t>
      </w:r>
      <w:r w:rsidRPr="00973D5B">
        <w:t xml:space="preserve"> a été élargie pour inclure les principales normes d</w:t>
      </w:r>
      <w:r w:rsidR="00FE6A95" w:rsidRPr="00973D5B">
        <w:t>’</w:t>
      </w:r>
      <w:r w:rsidRPr="00973D5B">
        <w:t>accessibilité des TIC : article 508 (États-Unis), norme EN 301 549 (Union européenne) et W3C/WAI WCAG</w:t>
      </w:r>
      <w:r w:rsidR="009137F5" w:rsidRPr="00973D5B">
        <w:t>.</w:t>
      </w:r>
      <w:r w:rsidRPr="00973D5B">
        <w:t xml:space="preserve"> »</w:t>
      </w:r>
      <w:r w:rsidR="00070F20" w:rsidRPr="00D24D08">
        <w:rPr>
          <w:rStyle w:val="FootnoteReference"/>
        </w:rPr>
        <w:footnoteReference w:id="3"/>
      </w:r>
    </w:p>
    <w:p w14:paraId="79758571" w14:textId="235A391E" w:rsidR="007132A5" w:rsidRPr="009C1198" w:rsidRDefault="00DD3794" w:rsidP="009C1198">
      <w:r w:rsidRPr="009C1198">
        <w:rPr>
          <w:rStyle w:val="Strong"/>
        </w:rPr>
        <w:t>Tests de conformité de l</w:t>
      </w:r>
      <w:r w:rsidR="00FE6A95" w:rsidRPr="009C1198">
        <w:rPr>
          <w:rStyle w:val="Strong"/>
        </w:rPr>
        <w:t>’</w:t>
      </w:r>
      <w:r w:rsidRPr="009C1198">
        <w:rPr>
          <w:rStyle w:val="Strong"/>
        </w:rPr>
        <w:t>accessibilité</w:t>
      </w:r>
      <w:r w:rsidR="007132A5" w:rsidRPr="009C1198">
        <w:t xml:space="preserve"> </w:t>
      </w:r>
      <w:r w:rsidRPr="009C1198">
        <w:t>– évaluation d</w:t>
      </w:r>
      <w:r w:rsidR="00FE6A95" w:rsidRPr="009C1198">
        <w:t>’</w:t>
      </w:r>
      <w:r w:rsidRPr="009C1198">
        <w:t>un produit ou d</w:t>
      </w:r>
      <w:r w:rsidR="00FE6A95" w:rsidRPr="009C1198">
        <w:t>’</w:t>
      </w:r>
      <w:r w:rsidRPr="009C1198">
        <w:t>un service par rapport aux exigences d</w:t>
      </w:r>
      <w:r w:rsidR="00FE6A95" w:rsidRPr="009C1198">
        <w:t>’</w:t>
      </w:r>
      <w:r w:rsidRPr="009C1198">
        <w:t>une norme, d</w:t>
      </w:r>
      <w:r w:rsidR="00FE6A95" w:rsidRPr="009C1198">
        <w:t>’</w:t>
      </w:r>
      <w:r w:rsidRPr="009C1198">
        <w:t>une ligne directrice ou d</w:t>
      </w:r>
      <w:r w:rsidR="00FE6A95" w:rsidRPr="009C1198">
        <w:t>’</w:t>
      </w:r>
      <w:r w:rsidRPr="009C1198">
        <w:t>une spécification donnée.</w:t>
      </w:r>
    </w:p>
    <w:p w14:paraId="5D061489" w14:textId="636D5618" w:rsidR="000E7E81" w:rsidRPr="00D24D08" w:rsidRDefault="00DD3794" w:rsidP="007132A5">
      <w:pPr>
        <w:rPr>
          <w:rFonts w:cs="Arial"/>
          <w:szCs w:val="24"/>
        </w:rPr>
      </w:pPr>
      <w:r w:rsidRPr="009C1198">
        <w:rPr>
          <w:rStyle w:val="Strong"/>
        </w:rPr>
        <w:t>Utilisateur final</w:t>
      </w:r>
      <w:r w:rsidR="000E7E81" w:rsidRPr="009C1198">
        <w:t xml:space="preserve"> </w:t>
      </w:r>
      <w:r w:rsidRPr="009C1198">
        <w:t>– le dernier utilisateur d</w:t>
      </w:r>
      <w:r w:rsidR="00FE6A95" w:rsidRPr="009C1198">
        <w:t>’</w:t>
      </w:r>
      <w:r w:rsidRPr="009C1198">
        <w:t xml:space="preserve">un produit fini </w:t>
      </w:r>
      <w:r w:rsidR="003A6F11" w:rsidRPr="00313146">
        <w:t>(</w:t>
      </w:r>
      <w:r w:rsidRPr="00313146">
        <w:t>bien ou service</w:t>
      </w:r>
      <w:r w:rsidR="003A6F11" w:rsidRPr="00313146">
        <w:t>)</w:t>
      </w:r>
      <w:r w:rsidR="009137F5" w:rsidRPr="00313146">
        <w:t>.</w:t>
      </w:r>
      <w:r w:rsidR="00B5391D" w:rsidRPr="00D24D08">
        <w:rPr>
          <w:rStyle w:val="FootnoteReference"/>
          <w:rFonts w:cs="Arial"/>
          <w:color w:val="212529"/>
          <w:szCs w:val="24"/>
          <w:shd w:val="clear" w:color="auto" w:fill="FFFFFF"/>
        </w:rPr>
        <w:footnoteReference w:id="4"/>
      </w:r>
    </w:p>
    <w:p w14:paraId="745D7113" w14:textId="0C78F713" w:rsidR="00EB6114" w:rsidRPr="00313146" w:rsidRDefault="007132A5" w:rsidP="009C1198">
      <w:r w:rsidRPr="009C1198">
        <w:rPr>
          <w:rStyle w:val="Strong"/>
        </w:rPr>
        <w:lastRenderedPageBreak/>
        <w:t>U</w:t>
      </w:r>
      <w:r w:rsidR="00DD3794" w:rsidRPr="009C1198">
        <w:rPr>
          <w:rStyle w:val="Strong"/>
        </w:rPr>
        <w:t>tilisabilité</w:t>
      </w:r>
      <w:r w:rsidRPr="009C1198">
        <w:rPr>
          <w:rStyle w:val="Strong"/>
        </w:rPr>
        <w:t xml:space="preserve"> / </w:t>
      </w:r>
      <w:r w:rsidR="00DD3794" w:rsidRPr="009C1198">
        <w:rPr>
          <w:rStyle w:val="Strong"/>
        </w:rPr>
        <w:t>tests d</w:t>
      </w:r>
      <w:r w:rsidR="00FE6A95" w:rsidRPr="009C1198">
        <w:rPr>
          <w:rStyle w:val="Strong"/>
        </w:rPr>
        <w:t>’</w:t>
      </w:r>
      <w:r w:rsidR="00DD3794" w:rsidRPr="009C1198">
        <w:rPr>
          <w:rStyle w:val="Strong"/>
        </w:rPr>
        <w:t>utilisateur</w:t>
      </w:r>
      <w:r w:rsidRPr="009C1198">
        <w:rPr>
          <w:rStyle w:val="Strong"/>
        </w:rPr>
        <w:t xml:space="preserve"> </w:t>
      </w:r>
      <w:r w:rsidR="002C182C" w:rsidRPr="009C1198">
        <w:rPr>
          <w:rStyle w:val="Strong"/>
        </w:rPr>
        <w:t xml:space="preserve">/ </w:t>
      </w:r>
      <w:r w:rsidR="00DD3794" w:rsidRPr="009C1198">
        <w:rPr>
          <w:rStyle w:val="Strong"/>
        </w:rPr>
        <w:t>tests d</w:t>
      </w:r>
      <w:r w:rsidR="00FE6A95" w:rsidRPr="009C1198">
        <w:rPr>
          <w:rStyle w:val="Strong"/>
        </w:rPr>
        <w:t>’</w:t>
      </w:r>
      <w:r w:rsidR="00DD3794" w:rsidRPr="009C1198">
        <w:rPr>
          <w:rStyle w:val="Strong"/>
        </w:rPr>
        <w:t xml:space="preserve">utilisateur inclusifs </w:t>
      </w:r>
      <w:r w:rsidR="00DE2A67" w:rsidRPr="009C1198">
        <w:rPr>
          <w:rStyle w:val="Strong"/>
        </w:rPr>
        <w:t>à l</w:t>
      </w:r>
      <w:r w:rsidR="00FE6A95" w:rsidRPr="009C1198">
        <w:rPr>
          <w:rStyle w:val="Strong"/>
        </w:rPr>
        <w:t>’</w:t>
      </w:r>
      <w:r w:rsidR="00DE2A67" w:rsidRPr="009C1198">
        <w:rPr>
          <w:rStyle w:val="Strong"/>
        </w:rPr>
        <w:t xml:space="preserve">égard des </w:t>
      </w:r>
      <w:r w:rsidR="00DD3794" w:rsidRPr="009C1198">
        <w:rPr>
          <w:rStyle w:val="Strong"/>
        </w:rPr>
        <w:t>personnes en situation de handicap</w:t>
      </w:r>
      <w:r w:rsidR="002C182C" w:rsidRPr="00313146">
        <w:t xml:space="preserve"> </w:t>
      </w:r>
      <w:r w:rsidR="00DD3794" w:rsidRPr="00313146">
        <w:t>– l</w:t>
      </w:r>
      <w:r w:rsidR="00DD3794" w:rsidRPr="009C1198">
        <w:t xml:space="preserve">e </w:t>
      </w:r>
      <w:r w:rsidR="00DD3794" w:rsidRPr="00313146">
        <w:t>processus qui consiste à effectuer des tests d</w:t>
      </w:r>
      <w:r w:rsidR="00FE6A95" w:rsidRPr="00313146">
        <w:t>’</w:t>
      </w:r>
      <w:r w:rsidR="00DD3794" w:rsidRPr="00313146">
        <w:t>utilisabilité auprès des personnes en situation de handicap. Cette étape est une partie importante du processus de conception de l</w:t>
      </w:r>
      <w:r w:rsidR="00FE6A95" w:rsidRPr="00313146">
        <w:t>’</w:t>
      </w:r>
      <w:r w:rsidR="00DD3794" w:rsidRPr="00313146">
        <w:t>expérience utilisateur. Elle permet de s</w:t>
      </w:r>
      <w:r w:rsidR="00FE6A95" w:rsidRPr="00313146">
        <w:t>’</w:t>
      </w:r>
      <w:r w:rsidR="00DD3794" w:rsidRPr="00313146">
        <w:t>assurer qu</w:t>
      </w:r>
      <w:r w:rsidR="00FE6A95" w:rsidRPr="00313146">
        <w:t>’</w:t>
      </w:r>
      <w:r w:rsidR="00DD3794" w:rsidRPr="00313146">
        <w:t>un produit ou un système</w:t>
      </w:r>
      <w:r w:rsidR="00EA4AE2" w:rsidRPr="00313146">
        <w:t> :</w:t>
      </w:r>
      <w:r w:rsidR="002C182C" w:rsidRPr="00313146">
        <w:t xml:space="preserve"> </w:t>
      </w:r>
    </w:p>
    <w:p w14:paraId="3900F365" w14:textId="2E29EE91" w:rsidR="00EB6114" w:rsidRPr="00313146" w:rsidRDefault="00DD3794" w:rsidP="001508D0">
      <w:pPr>
        <w:pStyle w:val="ListParagraph"/>
        <w:numPr>
          <w:ilvl w:val="0"/>
          <w:numId w:val="21"/>
        </w:numPr>
      </w:pPr>
      <w:proofErr w:type="gramStart"/>
      <w:r w:rsidRPr="00313146">
        <w:t>est</w:t>
      </w:r>
      <w:proofErr w:type="gramEnd"/>
      <w:r w:rsidRPr="00313146">
        <w:t xml:space="preserve"> accessible et facile à utiliser pour tous les utilisateurs, y compris les personnes en situation de handicap;</w:t>
      </w:r>
      <w:r w:rsidR="002C182C" w:rsidRPr="00313146">
        <w:t xml:space="preserve"> </w:t>
      </w:r>
    </w:p>
    <w:p w14:paraId="585359A1" w14:textId="0FFCF10B" w:rsidR="002C182C" w:rsidRPr="00313146" w:rsidRDefault="00DD3794" w:rsidP="001508D0">
      <w:pPr>
        <w:pStyle w:val="ListParagraph"/>
        <w:numPr>
          <w:ilvl w:val="0"/>
          <w:numId w:val="21"/>
        </w:numPr>
      </w:pPr>
      <w:proofErr w:type="gramStart"/>
      <w:r w:rsidRPr="00313146">
        <w:t>est</w:t>
      </w:r>
      <w:proofErr w:type="gramEnd"/>
      <w:r w:rsidRPr="00313146">
        <w:t xml:space="preserve"> conçu pour être inclusif et n</w:t>
      </w:r>
      <w:r w:rsidR="00FE6A95" w:rsidRPr="00313146">
        <w:t>’</w:t>
      </w:r>
      <w:r w:rsidRPr="00313146">
        <w:t>exclut pas</w:t>
      </w:r>
      <w:r w:rsidR="00544B28" w:rsidRPr="00313146">
        <w:t>,</w:t>
      </w:r>
      <w:r w:rsidRPr="00313146">
        <w:t xml:space="preserve"> </w:t>
      </w:r>
      <w:r w:rsidR="00544B28" w:rsidRPr="00313146">
        <w:t>sans faire exprès,</w:t>
      </w:r>
      <w:r w:rsidR="00544B28" w:rsidRPr="00313146" w:rsidDel="00544B28">
        <w:t xml:space="preserve"> </w:t>
      </w:r>
      <w:r w:rsidRPr="00313146">
        <w:t>les personnes en situation de handicap.</w:t>
      </w:r>
    </w:p>
    <w:p w14:paraId="25FE715F" w14:textId="21B9F2C7" w:rsidR="00EB6114" w:rsidRPr="00313146" w:rsidRDefault="00EA4AE2" w:rsidP="009C1198">
      <w:pPr>
        <w:rPr>
          <w:rFonts w:ascii="Arial" w:hAnsi="Arial"/>
        </w:rPr>
      </w:pPr>
      <w:r w:rsidRPr="00313146">
        <w:t>Dans ces tests, il est important de :</w:t>
      </w:r>
    </w:p>
    <w:p w14:paraId="09C2AFB7" w14:textId="689B7BFC" w:rsidR="00CA387F" w:rsidRPr="009C1198" w:rsidRDefault="00CA387F" w:rsidP="001508D0">
      <w:pPr>
        <w:pStyle w:val="ListParagraph"/>
        <w:numPr>
          <w:ilvl w:val="0"/>
          <w:numId w:val="22"/>
        </w:numPr>
      </w:pPr>
      <w:proofErr w:type="gramStart"/>
      <w:r w:rsidRPr="009C1198">
        <w:t>recruter</w:t>
      </w:r>
      <w:proofErr w:type="gramEnd"/>
      <w:r w:rsidRPr="009C1198">
        <w:t xml:space="preserve"> des participants présentant une grande variété </w:t>
      </w:r>
      <w:r w:rsidR="00544B28" w:rsidRPr="009C1198">
        <w:t>de handicaps</w:t>
      </w:r>
      <w:r w:rsidRPr="009C1198">
        <w:t xml:space="preserve">, telles que des </w:t>
      </w:r>
      <w:r w:rsidR="00544B28" w:rsidRPr="009C1198">
        <w:t xml:space="preserve">handicaps </w:t>
      </w:r>
      <w:r w:rsidRPr="009C1198">
        <w:t>visuels, auditi</w:t>
      </w:r>
      <w:r w:rsidR="00544B28" w:rsidRPr="009C1198">
        <w:t>f</w:t>
      </w:r>
      <w:r w:rsidRPr="009C1198">
        <w:t>s, mot</w:t>
      </w:r>
      <w:r w:rsidR="00544B28" w:rsidRPr="009C1198">
        <w:t>eur</w:t>
      </w:r>
      <w:r w:rsidRPr="009C1198">
        <w:t>s et cognit</w:t>
      </w:r>
      <w:r w:rsidR="00544B28" w:rsidRPr="009C1198">
        <w:t>if</w:t>
      </w:r>
      <w:r w:rsidRPr="009C1198">
        <w:t>s;</w:t>
      </w:r>
    </w:p>
    <w:p w14:paraId="1BFCEC61" w14:textId="74C827FB" w:rsidR="002C182C" w:rsidRPr="009C1198" w:rsidRDefault="00CA387F" w:rsidP="001508D0">
      <w:pPr>
        <w:pStyle w:val="ListParagraph"/>
        <w:numPr>
          <w:ilvl w:val="0"/>
          <w:numId w:val="22"/>
        </w:numPr>
      </w:pPr>
      <w:proofErr w:type="gramStart"/>
      <w:r w:rsidRPr="009C1198">
        <w:t>veiller</w:t>
      </w:r>
      <w:proofErr w:type="gramEnd"/>
      <w:r w:rsidRPr="009C1198">
        <w:t xml:space="preserve"> à ce que l</w:t>
      </w:r>
      <w:r w:rsidR="00FE6A95" w:rsidRPr="009C1198">
        <w:t>’</w:t>
      </w:r>
      <w:r w:rsidRPr="009C1198">
        <w:t>environnement et le matériel de test soient accessibles. Cela comprend les logiciels, le matériel et toute technologie d</w:t>
      </w:r>
      <w:r w:rsidR="00FE6A95" w:rsidRPr="009C1198">
        <w:t>’</w:t>
      </w:r>
      <w:r w:rsidRPr="009C1198">
        <w:t>assistance dont les participants en situation de handicap peuvent avoir besoin.</w:t>
      </w:r>
    </w:p>
    <w:p w14:paraId="452EE59C" w14:textId="1EEEA34C" w:rsidR="002C182C" w:rsidRPr="00313146" w:rsidRDefault="00CD31C4" w:rsidP="009C1198">
      <w:pPr>
        <w:rPr>
          <w:rFonts w:ascii="Arial" w:hAnsi="Arial"/>
        </w:rPr>
      </w:pPr>
      <w:r w:rsidRPr="00313146">
        <w:t>Les perspectives fournies par les tests d</w:t>
      </w:r>
      <w:r w:rsidR="00FE6A95" w:rsidRPr="00313146">
        <w:t>’</w:t>
      </w:r>
      <w:r w:rsidRPr="00313146">
        <w:t xml:space="preserve">utilisateurs inclusifs </w:t>
      </w:r>
      <w:r w:rsidR="00DE2A67" w:rsidRPr="00313146">
        <w:t>à l</w:t>
      </w:r>
      <w:r w:rsidR="00FE6A95" w:rsidRPr="00313146">
        <w:t>’</w:t>
      </w:r>
      <w:r w:rsidR="00DE2A67" w:rsidRPr="00313146">
        <w:t xml:space="preserve">égard des </w:t>
      </w:r>
      <w:r w:rsidRPr="00313146">
        <w:t>personnes en situation de handicap peuvent montrer aux concepteurs et aux développeurs les aspects de leur produit ou système qui peuvent être difficiles à utiliser ou inaccessibles. Ils peuvent alors utiliser ces renseignements pour le rendre inclusif et accessible à tous les utilisateurs.</w:t>
      </w:r>
    </w:p>
    <w:p w14:paraId="3F3D9F89" w14:textId="76F38DE3" w:rsidR="00F50062" w:rsidRPr="004411D4" w:rsidRDefault="00DE2A67" w:rsidP="004411D4">
      <w:r w:rsidRPr="004411D4">
        <w:rPr>
          <w:rStyle w:val="Strong"/>
        </w:rPr>
        <w:t>Technologie de l</w:t>
      </w:r>
      <w:r w:rsidR="00FE6A95" w:rsidRPr="004411D4">
        <w:rPr>
          <w:rStyle w:val="Strong"/>
        </w:rPr>
        <w:t>’</w:t>
      </w:r>
      <w:r w:rsidRPr="004411D4">
        <w:rPr>
          <w:rStyle w:val="Strong"/>
        </w:rPr>
        <w:t>information et des c</w:t>
      </w:r>
      <w:r w:rsidR="00B12EF2" w:rsidRPr="004411D4">
        <w:rPr>
          <w:rStyle w:val="Strong"/>
        </w:rPr>
        <w:t>ommunication</w:t>
      </w:r>
      <w:r w:rsidRPr="004411D4">
        <w:rPr>
          <w:rStyle w:val="Strong"/>
        </w:rPr>
        <w:t>s</w:t>
      </w:r>
      <w:r w:rsidR="00B12EF2" w:rsidRPr="004411D4">
        <w:rPr>
          <w:rStyle w:val="Strong"/>
        </w:rPr>
        <w:t xml:space="preserve"> (</w:t>
      </w:r>
      <w:r w:rsidRPr="004411D4">
        <w:rPr>
          <w:rStyle w:val="Strong"/>
        </w:rPr>
        <w:t>TIC)</w:t>
      </w:r>
      <w:r w:rsidR="00F50062" w:rsidRPr="00313146">
        <w:t xml:space="preserve"> </w:t>
      </w:r>
      <w:r w:rsidRPr="00313146">
        <w:t xml:space="preserve">– </w:t>
      </w:r>
      <w:r w:rsidR="00544B28" w:rsidRPr="00313146">
        <w:t xml:space="preserve">technologie, </w:t>
      </w:r>
      <w:r w:rsidRPr="004411D4">
        <w:t>équipement ou encore système ou sous-système d</w:t>
      </w:r>
      <w:r w:rsidR="00FE6A95" w:rsidRPr="004411D4">
        <w:t>’</w:t>
      </w:r>
      <w:r w:rsidRPr="004411D4">
        <w:t>équipement interconnecté dont la principale fonction est la création, la conversion, la duplication, l</w:t>
      </w:r>
      <w:r w:rsidR="00FE6A95" w:rsidRPr="004411D4">
        <w:t>’</w:t>
      </w:r>
      <w:r w:rsidRPr="004411D4">
        <w:t>acquisition automatique, le stockage, l</w:t>
      </w:r>
      <w:r w:rsidR="00FE6A95" w:rsidRPr="004411D4">
        <w:t>’</w:t>
      </w:r>
      <w:r w:rsidRPr="004411D4">
        <w:t>analyse, l</w:t>
      </w:r>
      <w:r w:rsidR="00FE6A95" w:rsidRPr="004411D4">
        <w:t>’</w:t>
      </w:r>
      <w:r w:rsidRPr="004411D4">
        <w:t xml:space="preserve">évaluation, la manipulation, la gestion, le </w:t>
      </w:r>
      <w:r w:rsidR="00135B69" w:rsidRPr="004411D4">
        <w:t>déplacement</w:t>
      </w:r>
      <w:r w:rsidRPr="004411D4">
        <w:t>, l</w:t>
      </w:r>
      <w:r w:rsidR="00135B69" w:rsidRPr="004411D4">
        <w:t>e contrôle</w:t>
      </w:r>
      <w:r w:rsidRPr="004411D4">
        <w:t>, l</w:t>
      </w:r>
      <w:r w:rsidR="00FE6A95" w:rsidRPr="004411D4">
        <w:t>’</w:t>
      </w:r>
      <w:r w:rsidRPr="004411D4">
        <w:t>affichage, la commutation, l</w:t>
      </w:r>
      <w:r w:rsidR="00FE6A95" w:rsidRPr="004411D4">
        <w:t>’</w:t>
      </w:r>
      <w:r w:rsidRPr="004411D4">
        <w:t>échange, l</w:t>
      </w:r>
      <w:r w:rsidR="00135B69" w:rsidRPr="004411D4">
        <w:t>a transmission</w:t>
      </w:r>
      <w:r w:rsidRPr="004411D4">
        <w:t>, la réception ou la diffusion de données ou d</w:t>
      </w:r>
      <w:r w:rsidR="00FE6A95" w:rsidRPr="004411D4">
        <w:t>’</w:t>
      </w:r>
      <w:r w:rsidRPr="004411D4">
        <w:t>informations.</w:t>
      </w:r>
    </w:p>
    <w:p w14:paraId="11C12B09" w14:textId="2FF068B6" w:rsidR="000940E0" w:rsidRPr="00D24D08" w:rsidRDefault="00DE2A67" w:rsidP="001508D0">
      <w:pPr>
        <w:pStyle w:val="ListParagraph"/>
        <w:numPr>
          <w:ilvl w:val="0"/>
          <w:numId w:val="23"/>
        </w:numPr>
      </w:pPr>
      <w:r w:rsidRPr="00313146">
        <w:rPr>
          <w:rStyle w:val="Strong"/>
        </w:rPr>
        <w:t>NOTE</w:t>
      </w:r>
      <w:r w:rsidRPr="00313146">
        <w:t xml:space="preserve"> :</w:t>
      </w:r>
      <w:r w:rsidRPr="009C1198">
        <w:t xml:space="preserve"> Des exemples de TIC sont les pages Web, le contenu électronique, les produits de télécommunication, les ordinateurs et équipements auxiliaires, les logiciels, y compris les applications mobiles, les guichets d</w:t>
      </w:r>
      <w:r w:rsidR="00FE6A95" w:rsidRPr="009C1198">
        <w:t>’</w:t>
      </w:r>
      <w:r w:rsidRPr="009C1198">
        <w:t xml:space="preserve">information et machines de transaction, les vidéos, les services informatiques et les machines </w:t>
      </w:r>
      <w:r w:rsidRPr="009C1198">
        <w:lastRenderedPageBreak/>
        <w:t>bureautiques multifonctions qui photocopient, numérisent et télécopient des documents</w:t>
      </w:r>
      <w:r w:rsidR="00135B69" w:rsidRPr="009C1198">
        <w:t>.</w:t>
      </w:r>
      <w:r w:rsidR="00F50062" w:rsidRPr="00D24D08">
        <w:rPr>
          <w:rStyle w:val="FootnoteReference"/>
        </w:rPr>
        <w:footnoteReference w:id="5"/>
      </w:r>
      <w:r w:rsidR="000940E0" w:rsidRPr="00D24D08">
        <w:br w:type="page"/>
      </w:r>
    </w:p>
    <w:p w14:paraId="5408C89E" w14:textId="00944B8D" w:rsidR="00B62A31" w:rsidRPr="00AA5229" w:rsidRDefault="0076750A" w:rsidP="00AA5229">
      <w:pPr>
        <w:pStyle w:val="Heading1"/>
      </w:pPr>
      <w:bookmarkStart w:id="48" w:name="_What_information_should"/>
      <w:bookmarkStart w:id="49" w:name="_Toc187907184"/>
      <w:bookmarkEnd w:id="48"/>
      <w:r w:rsidRPr="00AA5229">
        <w:lastRenderedPageBreak/>
        <w:t>Quels renseignements un rapport de conformité de l</w:t>
      </w:r>
      <w:r w:rsidR="00FE6A95" w:rsidRPr="00AA5229">
        <w:t>’</w:t>
      </w:r>
      <w:r w:rsidRPr="00AA5229">
        <w:t>accessibilité (RC</w:t>
      </w:r>
      <w:r w:rsidR="00157B87" w:rsidRPr="00AA5229">
        <w:t>A</w:t>
      </w:r>
      <w:r w:rsidRPr="00AA5229">
        <w:t>)</w:t>
      </w:r>
      <w:r w:rsidR="00950086" w:rsidRPr="00AA5229">
        <w:t xml:space="preserve"> </w:t>
      </w:r>
      <w:r w:rsidRPr="00AA5229">
        <w:t>devrait-il contenir</w:t>
      </w:r>
      <w:r w:rsidR="000940E0" w:rsidRPr="00AA5229">
        <w:t>?</w:t>
      </w:r>
      <w:bookmarkEnd w:id="49"/>
    </w:p>
    <w:p w14:paraId="2B1138C4" w14:textId="404C61AC" w:rsidR="00724862" w:rsidRPr="009C1198" w:rsidRDefault="00950086" w:rsidP="009C1198">
      <w:r w:rsidRPr="009C1198">
        <w:t>Nous recommandons aux fournisseurs d</w:t>
      </w:r>
      <w:r w:rsidR="00FE6A95" w:rsidRPr="009C1198">
        <w:t>’</w:t>
      </w:r>
      <w:r w:rsidRPr="009C1198">
        <w:t>utiliser le modèle industriel créé par l</w:t>
      </w:r>
      <w:r w:rsidR="00FE6A95" w:rsidRPr="009C1198">
        <w:t>’</w:t>
      </w:r>
      <w:r w:rsidRPr="00930E97">
        <w:t xml:space="preserve">Information </w:t>
      </w:r>
      <w:proofErr w:type="spellStart"/>
      <w:r w:rsidRPr="00930E97">
        <w:t>Technology</w:t>
      </w:r>
      <w:proofErr w:type="spellEnd"/>
      <w:r w:rsidRPr="00930E97">
        <w:t xml:space="preserve"> </w:t>
      </w:r>
      <w:proofErr w:type="spellStart"/>
      <w:r w:rsidRPr="00930E97">
        <w:t>Industry</w:t>
      </w:r>
      <w:proofErr w:type="spellEnd"/>
      <w:r w:rsidRPr="00930E97">
        <w:t xml:space="preserve"> Council (ITI)</w:t>
      </w:r>
      <w:r w:rsidRPr="009C1198">
        <w:t xml:space="preserve">. Le « </w:t>
      </w:r>
      <w:proofErr w:type="spellStart"/>
      <w:r w:rsidRPr="00930E97">
        <w:t>Voluntary</w:t>
      </w:r>
      <w:proofErr w:type="spellEnd"/>
      <w:r w:rsidRPr="00930E97">
        <w:t xml:space="preserve"> Product </w:t>
      </w:r>
      <w:proofErr w:type="spellStart"/>
      <w:r w:rsidRPr="00930E97">
        <w:t>Accessibility</w:t>
      </w:r>
      <w:proofErr w:type="spellEnd"/>
      <w:r w:rsidRPr="00930E97">
        <w:t xml:space="preserve"> Template</w:t>
      </w:r>
      <w:r w:rsidRPr="009C1198">
        <w:t xml:space="preserve"> » (modèle volontaire d</w:t>
      </w:r>
      <w:r w:rsidR="00FE6A95" w:rsidRPr="009C1198">
        <w:t>’</w:t>
      </w:r>
      <w:r w:rsidRPr="009C1198">
        <w:t>accessibilité des produits) et le « VPAT » sont des marques de service déposées de l</w:t>
      </w:r>
      <w:r w:rsidR="00FE6A95" w:rsidRPr="009C1198">
        <w:t>’</w:t>
      </w:r>
      <w:r w:rsidRPr="00930E97">
        <w:t xml:space="preserve">Information </w:t>
      </w:r>
      <w:proofErr w:type="spellStart"/>
      <w:r w:rsidRPr="00930E97">
        <w:t>Technology</w:t>
      </w:r>
      <w:proofErr w:type="spellEnd"/>
      <w:r w:rsidRPr="00930E97">
        <w:t xml:space="preserve"> </w:t>
      </w:r>
      <w:proofErr w:type="spellStart"/>
      <w:r w:rsidRPr="00930E97">
        <w:t>Industry</w:t>
      </w:r>
      <w:proofErr w:type="spellEnd"/>
      <w:r w:rsidRPr="00930E97">
        <w:t xml:space="preserve"> Council (ITI)</w:t>
      </w:r>
      <w:r w:rsidRPr="009C1198">
        <w:t xml:space="preserve">. Pour de plus amples renseignements, veuillez consulter le </w:t>
      </w:r>
      <w:hyperlink r:id="rId63" w:history="1">
        <w:r w:rsidR="00453957">
          <w:rPr>
            <w:rStyle w:val="Hyperlink"/>
          </w:rPr>
          <w:t>site Web de l’ITI (en anglais seulement)</w:t>
        </w:r>
      </w:hyperlink>
      <w:r w:rsidR="00157B87" w:rsidRPr="009C1198">
        <w:t>.</w:t>
      </w:r>
    </w:p>
    <w:p w14:paraId="001119A3" w14:textId="0D394019" w:rsidR="00724862" w:rsidRPr="009C1198" w:rsidRDefault="00EB2CF8" w:rsidP="009C1198">
      <w:r w:rsidRPr="009C1198">
        <w:t>Voici certains des renseignements qui devraient être inclus lors de l</w:t>
      </w:r>
      <w:r w:rsidR="00FE6A95" w:rsidRPr="009C1198">
        <w:t>’</w:t>
      </w:r>
      <w:r w:rsidRPr="009C1198">
        <w:t>utilisation d</w:t>
      </w:r>
      <w:r w:rsidR="00FE6A95" w:rsidRPr="009C1198">
        <w:t>’</w:t>
      </w:r>
      <w:r w:rsidRPr="009C1198">
        <w:t>un support de remplacement. Cette liste n</w:t>
      </w:r>
      <w:r w:rsidR="00FE6A95" w:rsidRPr="009C1198">
        <w:t>’</w:t>
      </w:r>
      <w:r w:rsidRPr="009C1198">
        <w:t>est pas exhaustive et ne devrait pas être considérée comme la seule source d</w:t>
      </w:r>
      <w:r w:rsidR="00FE6A95" w:rsidRPr="009C1198">
        <w:t>’</w:t>
      </w:r>
      <w:r w:rsidRPr="009C1198">
        <w:t>information à fournir dans un bon RCA. Le RCA devrait :</w:t>
      </w:r>
    </w:p>
    <w:p w14:paraId="72A550BD" w14:textId="3A7A6FEA" w:rsidR="004957F6" w:rsidRPr="009C1198" w:rsidRDefault="00EB2CF8" w:rsidP="001508D0">
      <w:pPr>
        <w:pStyle w:val="ListParagraph"/>
        <w:numPr>
          <w:ilvl w:val="0"/>
          <w:numId w:val="24"/>
        </w:numPr>
      </w:pPr>
      <w:proofErr w:type="gramStart"/>
      <w:r w:rsidRPr="009C1198">
        <w:t>être</w:t>
      </w:r>
      <w:proofErr w:type="gramEnd"/>
      <w:r w:rsidRPr="009C1198">
        <w:t xml:space="preserve"> dans un format </w:t>
      </w:r>
      <w:r w:rsidR="004957F6" w:rsidRPr="009C1198">
        <w:t>accessible</w:t>
      </w:r>
      <w:r w:rsidRPr="009C1198">
        <w:t>;</w:t>
      </w:r>
    </w:p>
    <w:p w14:paraId="3F9D17D7" w14:textId="497CAFA0" w:rsidR="00621A8C" w:rsidRPr="009C1198" w:rsidRDefault="00EB2CF8" w:rsidP="001508D0">
      <w:pPr>
        <w:pStyle w:val="ListParagraph"/>
        <w:numPr>
          <w:ilvl w:val="0"/>
          <w:numId w:val="24"/>
        </w:numPr>
      </w:pPr>
      <w:proofErr w:type="gramStart"/>
      <w:r w:rsidRPr="009C1198">
        <w:t>déclarer</w:t>
      </w:r>
      <w:proofErr w:type="gramEnd"/>
      <w:r w:rsidRPr="009C1198">
        <w:t xml:space="preserve"> la conformité à la norme d</w:t>
      </w:r>
      <w:r w:rsidR="00FE6A95" w:rsidRPr="009C1198">
        <w:t>’</w:t>
      </w:r>
      <w:r w:rsidRPr="009C1198">
        <w:t>accessibilité des TIC ou à la ligne directrice précisée dans la demande de soumissions;</w:t>
      </w:r>
    </w:p>
    <w:p w14:paraId="39106425" w14:textId="3B0CB536" w:rsidR="000F4C02" w:rsidRPr="009C1198" w:rsidRDefault="00EB2CF8" w:rsidP="001508D0">
      <w:pPr>
        <w:pStyle w:val="ListParagraph"/>
        <w:numPr>
          <w:ilvl w:val="0"/>
          <w:numId w:val="24"/>
        </w:numPr>
      </w:pPr>
      <w:proofErr w:type="gramStart"/>
      <w:r w:rsidRPr="009C1198">
        <w:t>indiquer</w:t>
      </w:r>
      <w:proofErr w:type="gramEnd"/>
      <w:r w:rsidRPr="009C1198">
        <w:t xml:space="preserve"> clairement quand </w:t>
      </w:r>
      <w:r w:rsidR="00F53D0C" w:rsidRPr="009C1198">
        <w:t xml:space="preserve">le rapport </w:t>
      </w:r>
      <w:r w:rsidRPr="009C1198">
        <w:t>a été créé;</w:t>
      </w:r>
    </w:p>
    <w:p w14:paraId="1D7673CA" w14:textId="7190BF44" w:rsidR="000905AA" w:rsidRPr="009C1198" w:rsidRDefault="00EB2CF8" w:rsidP="001508D0">
      <w:pPr>
        <w:pStyle w:val="ListParagraph"/>
        <w:numPr>
          <w:ilvl w:val="0"/>
          <w:numId w:val="24"/>
        </w:numPr>
      </w:pPr>
      <w:proofErr w:type="gramStart"/>
      <w:r w:rsidRPr="009C1198">
        <w:t>fournir</w:t>
      </w:r>
      <w:proofErr w:type="gramEnd"/>
      <w:r w:rsidRPr="009C1198">
        <w:t xml:space="preserve"> les coordonnées de la personne qui a créé le rapport</w:t>
      </w:r>
      <w:r w:rsidR="00F53D0C" w:rsidRPr="009C1198">
        <w:t>;</w:t>
      </w:r>
    </w:p>
    <w:p w14:paraId="7CEABC9C" w14:textId="12CACF97" w:rsidR="00ED1488" w:rsidRPr="009C1198" w:rsidRDefault="00F53D0C" w:rsidP="001508D0">
      <w:pPr>
        <w:pStyle w:val="ListParagraph"/>
        <w:numPr>
          <w:ilvl w:val="0"/>
          <w:numId w:val="24"/>
        </w:numPr>
      </w:pPr>
      <w:proofErr w:type="gramStart"/>
      <w:r w:rsidRPr="009C1198">
        <w:t>indiquer</w:t>
      </w:r>
      <w:proofErr w:type="gramEnd"/>
      <w:r w:rsidRPr="009C1198">
        <w:t xml:space="preserve"> ce qui a été testé, y compris la version du produit</w:t>
      </w:r>
      <w:r w:rsidR="00BA3619" w:rsidRPr="009C1198">
        <w:t xml:space="preserve">, </w:t>
      </w:r>
      <w:r w:rsidRPr="009C1198">
        <w:t>confirmer que la solution complète a été testée ou révéler quelle méthodologie d</w:t>
      </w:r>
      <w:r w:rsidR="00FE6A95" w:rsidRPr="009C1198">
        <w:t>’</w:t>
      </w:r>
      <w:r w:rsidRPr="009C1198">
        <w:t>échantillonnage a été utilisée pour déterminer la taille de l</w:t>
      </w:r>
      <w:r w:rsidR="00FE6A95" w:rsidRPr="009C1198">
        <w:t>’</w:t>
      </w:r>
      <w:r w:rsidRPr="009C1198">
        <w:t xml:space="preserve">échantillon; </w:t>
      </w:r>
    </w:p>
    <w:p w14:paraId="301051D4" w14:textId="435EF80F" w:rsidR="00F53D0C" w:rsidRPr="009C1198" w:rsidRDefault="00F53D0C" w:rsidP="001508D0">
      <w:pPr>
        <w:pStyle w:val="ListParagraph"/>
        <w:numPr>
          <w:ilvl w:val="0"/>
          <w:numId w:val="24"/>
        </w:numPr>
      </w:pPr>
      <w:proofErr w:type="gramStart"/>
      <w:r w:rsidRPr="009C1198">
        <w:t>expliquer</w:t>
      </w:r>
      <w:proofErr w:type="gramEnd"/>
      <w:r w:rsidRPr="009C1198">
        <w:t xml:space="preserve"> le type de tests et d</w:t>
      </w:r>
      <w:r w:rsidR="00FE6A95" w:rsidRPr="009C1198">
        <w:t>’</w:t>
      </w:r>
      <w:r w:rsidRPr="009C1198">
        <w:t>outils utilisés pour tester par rapport à la norme ou à la ligne directrice sur l</w:t>
      </w:r>
      <w:r w:rsidR="00FE6A95" w:rsidRPr="009C1198">
        <w:t>’</w:t>
      </w:r>
      <w:r w:rsidRPr="009C1198">
        <w:t>accessibilité des TIC;</w:t>
      </w:r>
    </w:p>
    <w:p w14:paraId="7D1FED48" w14:textId="61612412" w:rsidR="00F53D0C" w:rsidRPr="009C1198" w:rsidRDefault="00F53D0C" w:rsidP="001508D0">
      <w:pPr>
        <w:pStyle w:val="ListParagraph"/>
        <w:numPr>
          <w:ilvl w:val="0"/>
          <w:numId w:val="24"/>
        </w:numPr>
      </w:pPr>
      <w:proofErr w:type="gramStart"/>
      <w:r w:rsidRPr="009C1198">
        <w:t>fournir</w:t>
      </w:r>
      <w:proofErr w:type="gramEnd"/>
      <w:r w:rsidRPr="009C1198">
        <w:t xml:space="preserve"> une liste de l</w:t>
      </w:r>
      <w:r w:rsidR="00FE6A95" w:rsidRPr="009C1198">
        <w:t>’</w:t>
      </w:r>
      <w:r w:rsidRPr="009C1198">
        <w:t>ensemble des exigences de la norme ou des lignes directrices, consigner le niveau de conformité approprié pour chaque élément, en expliquant où se trouvent les non-conformités</w:t>
      </w:r>
      <w:r w:rsidR="00157B87" w:rsidRPr="009C1198">
        <w:t>;</w:t>
      </w:r>
    </w:p>
    <w:p w14:paraId="03C8EA6A" w14:textId="3BD0082D" w:rsidR="00B72B5B" w:rsidRPr="009C1198" w:rsidRDefault="00F53D0C" w:rsidP="001508D0">
      <w:pPr>
        <w:pStyle w:val="ListParagraph"/>
        <w:numPr>
          <w:ilvl w:val="0"/>
          <w:numId w:val="24"/>
        </w:numPr>
      </w:pPr>
      <w:proofErr w:type="gramStart"/>
      <w:r w:rsidRPr="009C1198">
        <w:t>fournir</w:t>
      </w:r>
      <w:proofErr w:type="gramEnd"/>
      <w:r w:rsidRPr="009C1198">
        <w:t xml:space="preserve"> tout renseignement supplémentaire nécessaire pour donner un contexte et permettre au RCA de communiquer clairement son niveau de conformité.</w:t>
      </w:r>
    </w:p>
    <w:p w14:paraId="5950EE4C" w14:textId="1A52D052" w:rsidR="004957F6" w:rsidRPr="009C1198" w:rsidRDefault="00305359" w:rsidP="009C1198">
      <w:r w:rsidRPr="009C1198">
        <w:t>Si les utilisateurs n</w:t>
      </w:r>
      <w:r w:rsidR="00FE6A95" w:rsidRPr="009C1198">
        <w:t>’</w:t>
      </w:r>
      <w:r w:rsidRPr="009C1198">
        <w:t>utilisent pas le modèle de l</w:t>
      </w:r>
      <w:r w:rsidR="00FE6A95" w:rsidRPr="009C1198">
        <w:t>’</w:t>
      </w:r>
      <w:r w:rsidRPr="009C1198">
        <w:t xml:space="preserve">industrie, nous vous recommandons </w:t>
      </w:r>
      <w:proofErr w:type="gramStart"/>
      <w:r w:rsidRPr="009C1198">
        <w:t>de faire</w:t>
      </w:r>
      <w:proofErr w:type="gramEnd"/>
      <w:r w:rsidRPr="009C1198">
        <w:t xml:space="preserve"> des recherches supplémentaires pour comprendre ce qui constitue un RCA de bonne qualité et quels renseignements vous devez fournir au sujet de la conformité de votre solution en matière d</w:t>
      </w:r>
      <w:r w:rsidR="00FE6A95" w:rsidRPr="009C1198">
        <w:t>’</w:t>
      </w:r>
      <w:r w:rsidRPr="009C1198">
        <w:t>accessibilité.</w:t>
      </w:r>
    </w:p>
    <w:sectPr w:rsidR="004957F6" w:rsidRPr="009C1198">
      <w:headerReference w:type="even" r:id="rId64"/>
      <w:footerReference w:type="default" r:id="rId65"/>
      <w:headerReference w:type="firs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13681" w14:textId="77777777" w:rsidR="00785A33" w:rsidRDefault="00785A33" w:rsidP="00243AE2">
      <w:pPr>
        <w:spacing w:after="0"/>
      </w:pPr>
      <w:r>
        <w:separator/>
      </w:r>
    </w:p>
  </w:endnote>
  <w:endnote w:type="continuationSeparator" w:id="0">
    <w:p w14:paraId="2B6A0408" w14:textId="77777777" w:rsidR="00785A33" w:rsidRDefault="00785A33" w:rsidP="00243AE2">
      <w:pPr>
        <w:spacing w:after="0"/>
      </w:pPr>
      <w:r>
        <w:continuationSeparator/>
      </w:r>
    </w:p>
  </w:endnote>
  <w:endnote w:type="continuationNotice" w:id="1">
    <w:p w14:paraId="5C87ADB2" w14:textId="77777777" w:rsidR="00785A33" w:rsidRDefault="00785A3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6E8BC" w14:textId="18163F99" w:rsidR="00243AE2" w:rsidRPr="0015462C" w:rsidRDefault="00761A87">
    <w:pPr>
      <w:pStyle w:val="Footer"/>
      <w:rPr>
        <w:lang w:val="en-CA"/>
      </w:rPr>
    </w:pPr>
    <w:r>
      <w:fldChar w:fldCharType="begin"/>
    </w:r>
    <w:r w:rsidRPr="0015462C">
      <w:rPr>
        <w:lang w:val="en-CA"/>
      </w:rPr>
      <w:instrText>FILENAME   \* MERGEFORMAT</w:instrText>
    </w:r>
    <w:r>
      <w:fldChar w:fldCharType="separate"/>
    </w:r>
    <w:r w:rsidR="0061337A">
      <w:rPr>
        <w:noProof/>
        <w:lang w:val="en-CA"/>
      </w:rPr>
      <w:t>Guide for Including Accessibility in ICT related Procurement 23Jan2025 FR</w:t>
    </w:r>
    <w:r>
      <w:rPr>
        <w:noProof/>
      </w:rPr>
      <w:fldChar w:fldCharType="end"/>
    </w:r>
    <w:r w:rsidR="00046472" w:rsidRPr="0015462C">
      <w:rPr>
        <w:noProof/>
        <w:lang w:val="en-CA"/>
      </w:rPr>
      <w:tab/>
    </w:r>
    <w:r w:rsidR="00046472" w:rsidRPr="0015462C">
      <w:rPr>
        <w:noProof/>
        <w:lang w:val="en-CA"/>
      </w:rPr>
      <w:tab/>
    </w:r>
    <w:r w:rsidR="00833040" w:rsidRPr="0015462C">
      <w:rPr>
        <w:noProof/>
        <w:lang w:val="en-CA"/>
      </w:rPr>
      <w:t xml:space="preserve"> </w:t>
    </w:r>
    <w:r w:rsidR="00243AE2" w:rsidRPr="0015462C">
      <w:rPr>
        <w:lang w:val="en-CA"/>
      </w:rPr>
      <w:tab/>
      <w:t xml:space="preserve">Page </w:t>
    </w:r>
    <w:r w:rsidR="00243AE2" w:rsidRPr="00833040">
      <w:fldChar w:fldCharType="begin"/>
    </w:r>
    <w:r w:rsidR="00243AE2" w:rsidRPr="0015462C">
      <w:rPr>
        <w:lang w:val="en-CA"/>
      </w:rPr>
      <w:instrText xml:space="preserve"> PAGE   \* MERGEFORMAT </w:instrText>
    </w:r>
    <w:r w:rsidR="00243AE2" w:rsidRPr="00833040">
      <w:fldChar w:fldCharType="separate"/>
    </w:r>
    <w:r w:rsidR="00243AE2" w:rsidRPr="0015462C">
      <w:rPr>
        <w:noProof/>
        <w:lang w:val="en-CA"/>
      </w:rPr>
      <w:t>1</w:t>
    </w:r>
    <w:r w:rsidR="00243AE2" w:rsidRPr="00833040">
      <w:fldChar w:fldCharType="end"/>
    </w:r>
    <w:r w:rsidR="00243AE2" w:rsidRPr="0015462C">
      <w:rPr>
        <w:lang w:val="en-CA"/>
      </w:rPr>
      <w:t xml:space="preserve"> </w:t>
    </w:r>
    <w:r w:rsidR="00833040" w:rsidRPr="0015462C">
      <w:rPr>
        <w:lang w:val="en-CA"/>
      </w:rPr>
      <w:t>de</w:t>
    </w:r>
    <w:r w:rsidR="00243AE2" w:rsidRPr="0015462C">
      <w:rPr>
        <w:lang w:val="en-CA"/>
      </w:rPr>
      <w:t xml:space="preserve"> </w:t>
    </w:r>
    <w:r>
      <w:fldChar w:fldCharType="begin"/>
    </w:r>
    <w:r w:rsidRPr="0015462C">
      <w:rPr>
        <w:lang w:val="en-CA"/>
      </w:rPr>
      <w:instrText>NUMPAGES   \* MERGEFORMAT</w:instrText>
    </w:r>
    <w:r>
      <w:fldChar w:fldCharType="separate"/>
    </w:r>
    <w:r w:rsidR="00243AE2" w:rsidRPr="0015462C">
      <w:rPr>
        <w:noProof/>
        <w:lang w:val="en-CA"/>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7F4B0" w14:textId="77777777" w:rsidR="00785A33" w:rsidRDefault="00785A33" w:rsidP="00243AE2">
      <w:pPr>
        <w:spacing w:after="0"/>
      </w:pPr>
      <w:r>
        <w:separator/>
      </w:r>
    </w:p>
  </w:footnote>
  <w:footnote w:type="continuationSeparator" w:id="0">
    <w:p w14:paraId="3E36CBBF" w14:textId="77777777" w:rsidR="00785A33" w:rsidRDefault="00785A33" w:rsidP="00243AE2">
      <w:pPr>
        <w:spacing w:after="0"/>
      </w:pPr>
      <w:r>
        <w:continuationSeparator/>
      </w:r>
    </w:p>
  </w:footnote>
  <w:footnote w:type="continuationNotice" w:id="1">
    <w:p w14:paraId="6071783A" w14:textId="77777777" w:rsidR="00785A33" w:rsidRDefault="00785A33">
      <w:pPr>
        <w:spacing w:after="0"/>
      </w:pPr>
    </w:p>
  </w:footnote>
  <w:footnote w:id="2">
    <w:p w14:paraId="0D8557BE" w14:textId="05A8F8A5" w:rsidR="0053673F" w:rsidRPr="00DD3794" w:rsidRDefault="0053673F">
      <w:pPr>
        <w:pStyle w:val="FootnoteText"/>
      </w:pPr>
      <w:r w:rsidRPr="00DD3794">
        <w:rPr>
          <w:rStyle w:val="FootnoteReference"/>
        </w:rPr>
        <w:footnoteRef/>
      </w:r>
      <w:r w:rsidRPr="00DD3794">
        <w:t xml:space="preserve"> </w:t>
      </w:r>
      <w:r w:rsidRPr="009C1198">
        <w:t>Copi</w:t>
      </w:r>
      <w:r w:rsidR="00DD3794" w:rsidRPr="009C1198">
        <w:t xml:space="preserve">é de la norme </w:t>
      </w:r>
      <w:r w:rsidRPr="009C1198">
        <w:t xml:space="preserve">EN 301 549 </w:t>
      </w:r>
      <w:r w:rsidR="00F50062" w:rsidRPr="009C1198">
        <w:t>V3.2.1 (2021-03)</w:t>
      </w:r>
      <w:r w:rsidRPr="009C1198">
        <w:t>, 3 D</w:t>
      </w:r>
      <w:r w:rsidR="00952571" w:rsidRPr="009C1198">
        <w:t>é</w:t>
      </w:r>
      <w:r w:rsidRPr="009C1198">
        <w:t>finition</w:t>
      </w:r>
      <w:r w:rsidR="00135B69" w:rsidRPr="009C1198">
        <w:t xml:space="preserve"> des termes</w:t>
      </w:r>
      <w:r w:rsidRPr="009C1198">
        <w:t>, symbol</w:t>
      </w:r>
      <w:r w:rsidR="00952571" w:rsidRPr="009C1198">
        <w:t>es</w:t>
      </w:r>
      <w:r w:rsidRPr="009C1198">
        <w:t xml:space="preserve"> </w:t>
      </w:r>
      <w:r w:rsidR="00952571" w:rsidRPr="009C1198">
        <w:t xml:space="preserve">et </w:t>
      </w:r>
      <w:r w:rsidRPr="009C1198">
        <w:t>abr</w:t>
      </w:r>
      <w:r w:rsidR="00952571" w:rsidRPr="009C1198">
        <w:t>é</w:t>
      </w:r>
      <w:r w:rsidRPr="009C1198">
        <w:t>viations, p</w:t>
      </w:r>
      <w:bookmarkStart w:id="46" w:name="_Hlk183434982"/>
      <w:r w:rsidRPr="009C1198">
        <w:t>age</w:t>
      </w:r>
      <w:bookmarkEnd w:id="46"/>
      <w:r w:rsidRPr="009C1198">
        <w:t xml:space="preserve"> 15</w:t>
      </w:r>
    </w:p>
  </w:footnote>
  <w:footnote w:id="3">
    <w:p w14:paraId="54BECD75" w14:textId="19B5413B" w:rsidR="00070F20" w:rsidRPr="00DD3794" w:rsidRDefault="00070F20">
      <w:pPr>
        <w:pStyle w:val="FootnoteText"/>
      </w:pPr>
      <w:r w:rsidRPr="00DD3794">
        <w:rPr>
          <w:rStyle w:val="FootnoteReference"/>
        </w:rPr>
        <w:footnoteRef/>
      </w:r>
      <w:r w:rsidRPr="00DD3794">
        <w:t xml:space="preserve"> </w:t>
      </w:r>
      <w:r w:rsidRPr="009C1198">
        <w:t>Copi</w:t>
      </w:r>
      <w:r w:rsidR="00952571" w:rsidRPr="009C1198">
        <w:t>é du site Web de l</w:t>
      </w:r>
      <w:r w:rsidR="00FE6A95" w:rsidRPr="009C1198">
        <w:t>’</w:t>
      </w:r>
      <w:r w:rsidRPr="00930E97">
        <w:t>Inf</w:t>
      </w:r>
      <w:bookmarkStart w:id="47" w:name="_Hlk183435005"/>
      <w:r w:rsidRPr="00930E97">
        <w:t>ormatio</w:t>
      </w:r>
      <w:bookmarkEnd w:id="47"/>
      <w:r w:rsidRPr="00930E97">
        <w:t>n Technology Industry Council</w:t>
      </w:r>
      <w:r w:rsidRPr="009C1198">
        <w:t xml:space="preserve"> (ITI) </w:t>
      </w:r>
      <w:hyperlink r:id="rId1" w:history="1">
        <w:r w:rsidR="00453957">
          <w:rPr>
            <w:rStyle w:val="Hyperlink"/>
          </w:rPr>
          <w:t>VPAT® – Information Technology Industry Council (itic.org) (en anglais seulement)</w:t>
        </w:r>
      </w:hyperlink>
    </w:p>
  </w:footnote>
  <w:footnote w:id="4">
    <w:p w14:paraId="362157B1" w14:textId="3248353F" w:rsidR="00B5391D" w:rsidRPr="00952571" w:rsidRDefault="00B5391D" w:rsidP="004B21B3">
      <w:pPr>
        <w:rPr>
          <w:rFonts w:ascii="Calibri" w:hAnsi="Calibri"/>
          <w:b/>
          <w:bCs/>
          <w:sz w:val="20"/>
          <w:szCs w:val="20"/>
        </w:rPr>
      </w:pPr>
      <w:r w:rsidRPr="00DD3794">
        <w:rPr>
          <w:rStyle w:val="FootnoteReference"/>
          <w:sz w:val="20"/>
          <w:szCs w:val="20"/>
        </w:rPr>
        <w:footnoteRef/>
      </w:r>
      <w:r w:rsidRPr="00DD3794">
        <w:rPr>
          <w:sz w:val="20"/>
          <w:szCs w:val="20"/>
        </w:rPr>
        <w:t xml:space="preserve"> </w:t>
      </w:r>
      <w:r w:rsidR="00EA4AE2" w:rsidRPr="009C1198">
        <w:rPr>
          <w:sz w:val="20"/>
          <w:szCs w:val="18"/>
        </w:rPr>
        <w:t xml:space="preserve">Traduction en français de la </w:t>
      </w:r>
      <w:hyperlink r:id="rId2" w:history="1">
        <w:r w:rsidR="00952571" w:rsidRPr="009C1198">
          <w:rPr>
            <w:rStyle w:val="Hyperlink"/>
            <w:sz w:val="20"/>
            <w:szCs w:val="18"/>
          </w:rPr>
          <w:t xml:space="preserve">définition </w:t>
        </w:r>
        <w:r w:rsidR="00EA4AE2" w:rsidRPr="009C1198">
          <w:rPr>
            <w:rStyle w:val="Hyperlink"/>
            <w:sz w:val="20"/>
            <w:szCs w:val="18"/>
          </w:rPr>
          <w:t xml:space="preserve">en anglais </w:t>
        </w:r>
        <w:r w:rsidR="00952571" w:rsidRPr="009C1198">
          <w:rPr>
            <w:rStyle w:val="Hyperlink"/>
            <w:sz w:val="20"/>
            <w:szCs w:val="18"/>
          </w:rPr>
          <w:t>d</w:t>
        </w:r>
        <w:r w:rsidR="00FE6A95" w:rsidRPr="009C1198">
          <w:rPr>
            <w:rStyle w:val="Hyperlink"/>
            <w:sz w:val="20"/>
            <w:szCs w:val="18"/>
          </w:rPr>
          <w:t>’</w:t>
        </w:r>
        <w:r w:rsidR="00952571" w:rsidRPr="009C1198">
          <w:rPr>
            <w:rStyle w:val="Hyperlink"/>
            <w:sz w:val="20"/>
            <w:szCs w:val="18"/>
          </w:rPr>
          <w:t xml:space="preserve">utilisateur final dans le </w:t>
        </w:r>
        <w:r w:rsidR="004B21B3" w:rsidRPr="00930E97">
          <w:rPr>
            <w:rStyle w:val="Hyperlink"/>
            <w:sz w:val="20"/>
            <w:szCs w:val="18"/>
          </w:rPr>
          <w:t>Merriam-Webster</w:t>
        </w:r>
      </w:hyperlink>
      <w:r w:rsidR="00952571">
        <w:rPr>
          <w:sz w:val="20"/>
          <w:szCs w:val="20"/>
        </w:rPr>
        <w:t xml:space="preserve"> </w:t>
      </w:r>
    </w:p>
  </w:footnote>
  <w:footnote w:id="5">
    <w:p w14:paraId="08BA41FF" w14:textId="5CEB7A9F" w:rsidR="00F50062" w:rsidRPr="00DD3794" w:rsidRDefault="00F50062">
      <w:pPr>
        <w:pStyle w:val="FootnoteText"/>
      </w:pPr>
      <w:r w:rsidRPr="00DD3794">
        <w:rPr>
          <w:rStyle w:val="FootnoteReference"/>
        </w:rPr>
        <w:footnoteRef/>
      </w:r>
      <w:r w:rsidRPr="00DD3794">
        <w:t xml:space="preserve"> </w:t>
      </w:r>
      <w:r w:rsidR="0076750A" w:rsidRPr="00DD3794">
        <w:t>Copié de la norme EN 301 549 V3.2.1 (2021-03), 3 D</w:t>
      </w:r>
      <w:r w:rsidR="0076750A">
        <w:t>é</w:t>
      </w:r>
      <w:r w:rsidR="0076750A" w:rsidRPr="00DD3794">
        <w:t>finition</w:t>
      </w:r>
      <w:r w:rsidR="00135B69">
        <w:t xml:space="preserve"> des termes</w:t>
      </w:r>
      <w:r w:rsidR="0076750A" w:rsidRPr="00DD3794">
        <w:t>, symbol</w:t>
      </w:r>
      <w:r w:rsidR="0076750A">
        <w:t>es</w:t>
      </w:r>
      <w:r w:rsidR="0076750A" w:rsidRPr="00DD3794">
        <w:t xml:space="preserve"> </w:t>
      </w:r>
      <w:r w:rsidR="0076750A">
        <w:t xml:space="preserve">et </w:t>
      </w:r>
      <w:r w:rsidR="0076750A" w:rsidRPr="00DD3794">
        <w:t>abr</w:t>
      </w:r>
      <w:r w:rsidR="0076750A">
        <w:t>é</w:t>
      </w:r>
      <w:r w:rsidR="0076750A" w:rsidRPr="00DD3794">
        <w:t xml:space="preserve">viations, page </w:t>
      </w:r>
      <w:r w:rsidRPr="00DD3794">
        <w:t>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79EEC" w14:textId="70D95AB6" w:rsidR="00423CCB" w:rsidRDefault="00E77118">
    <w:pPr>
      <w:pStyle w:val="Header"/>
    </w:pPr>
    <w:r>
      <w:rPr>
        <w:noProof/>
      </w:rPr>
      <mc:AlternateContent>
        <mc:Choice Requires="wps">
          <w:drawing>
            <wp:anchor distT="0" distB="0" distL="0" distR="0" simplePos="0" relativeHeight="251658243" behindDoc="0" locked="0" layoutInCell="1" allowOverlap="1" wp14:anchorId="0074A099" wp14:editId="35C825B7">
              <wp:simplePos x="635" y="635"/>
              <wp:positionH relativeFrom="page">
                <wp:align>right</wp:align>
              </wp:positionH>
              <wp:positionV relativeFrom="page">
                <wp:align>top</wp:align>
              </wp:positionV>
              <wp:extent cx="443865" cy="443865"/>
              <wp:effectExtent l="0" t="0" r="0" b="4445"/>
              <wp:wrapNone/>
              <wp:docPr id="2"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3ACE1F" w14:textId="39025164" w:rsidR="00E77118" w:rsidRPr="00E77118" w:rsidRDefault="00E77118" w:rsidP="00E77118">
                          <w:pPr>
                            <w:spacing w:after="0"/>
                            <w:rPr>
                              <w:rFonts w:ascii="Calibri" w:eastAsia="Calibri" w:hAnsi="Calibri" w:cs="Calibri"/>
                              <w:noProof/>
                              <w:color w:val="000000"/>
                              <w:szCs w:val="24"/>
                            </w:rPr>
                          </w:pPr>
                          <w:r w:rsidRPr="00E77118">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074A099" id="_x0000_t202" coordsize="21600,21600" o:spt="202" path="m,l,21600r21600,l21600,xe">
              <v:stroke joinstyle="miter"/>
              <v:path gradientshapeok="t" o:connecttype="rect"/>
            </v:shapetype>
            <v:shape id="Text Box 2" o:spid="_x0000_s1026" type="#_x0000_t202" alt="Unclassified | Non classifié" style="position:absolute;margin-left:-16.25pt;margin-top:0;width:34.95pt;height:34.95pt;z-index:251658243;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263ACE1F" w14:textId="39025164" w:rsidR="00E77118" w:rsidRPr="00E77118" w:rsidRDefault="00E77118" w:rsidP="00E77118">
                    <w:pPr>
                      <w:spacing w:after="0"/>
                      <w:rPr>
                        <w:rFonts w:ascii="Calibri" w:eastAsia="Calibri" w:hAnsi="Calibri" w:cs="Calibri"/>
                        <w:noProof/>
                        <w:color w:val="000000"/>
                        <w:szCs w:val="24"/>
                      </w:rPr>
                    </w:pPr>
                    <w:r w:rsidRPr="00E77118">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837C5" w14:textId="1C93E588" w:rsidR="00423CCB" w:rsidRDefault="00E77118">
    <w:pPr>
      <w:pStyle w:val="Header"/>
    </w:pPr>
    <w:r>
      <w:rPr>
        <w:noProof/>
      </w:rPr>
      <mc:AlternateContent>
        <mc:Choice Requires="wps">
          <w:drawing>
            <wp:anchor distT="0" distB="0" distL="0" distR="0" simplePos="0" relativeHeight="251658242" behindDoc="0" locked="0" layoutInCell="1" allowOverlap="1" wp14:anchorId="39C85F55" wp14:editId="6DF43CCE">
              <wp:simplePos x="635" y="635"/>
              <wp:positionH relativeFrom="page">
                <wp:align>right</wp:align>
              </wp:positionH>
              <wp:positionV relativeFrom="page">
                <wp:align>top</wp:align>
              </wp:positionV>
              <wp:extent cx="443865" cy="443865"/>
              <wp:effectExtent l="0" t="0" r="0" b="4445"/>
              <wp:wrapNone/>
              <wp:docPr id="1"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F48F60" w14:textId="482D12F1" w:rsidR="00E77118" w:rsidRPr="00E77118" w:rsidRDefault="00E77118" w:rsidP="00E77118">
                          <w:pPr>
                            <w:spacing w:after="0"/>
                            <w:rPr>
                              <w:rFonts w:ascii="Calibri" w:eastAsia="Calibri" w:hAnsi="Calibri" w:cs="Calibri"/>
                              <w:noProof/>
                              <w:color w:val="000000"/>
                              <w:szCs w:val="24"/>
                            </w:rPr>
                          </w:pPr>
                          <w:r w:rsidRPr="00E77118">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9C85F55" id="_x0000_t202" coordsize="21600,21600" o:spt="202" path="m,l,21600r21600,l21600,xe">
              <v:stroke joinstyle="miter"/>
              <v:path gradientshapeok="t" o:connecttype="rect"/>
            </v:shapetype>
            <v:shape id="Text Box 1" o:spid="_x0000_s1027" type="#_x0000_t202" alt="Unclassified | Non classifié" style="position:absolute;margin-left:-16.25pt;margin-top:0;width:34.95pt;height:34.95pt;z-index:25165824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33F48F60" w14:textId="482D12F1" w:rsidR="00E77118" w:rsidRPr="00E77118" w:rsidRDefault="00E77118" w:rsidP="00E77118">
                    <w:pPr>
                      <w:spacing w:after="0"/>
                      <w:rPr>
                        <w:rFonts w:ascii="Calibri" w:eastAsia="Calibri" w:hAnsi="Calibri" w:cs="Calibri"/>
                        <w:noProof/>
                        <w:color w:val="000000"/>
                        <w:szCs w:val="24"/>
                      </w:rPr>
                    </w:pPr>
                    <w:r w:rsidRPr="00E77118">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1C40"/>
    <w:multiLevelType w:val="hybridMultilevel"/>
    <w:tmpl w:val="F1C252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9B09E4"/>
    <w:multiLevelType w:val="hybridMultilevel"/>
    <w:tmpl w:val="598CBD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E57C93"/>
    <w:multiLevelType w:val="hybridMultilevel"/>
    <w:tmpl w:val="E0D02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487150"/>
    <w:multiLevelType w:val="hybridMultilevel"/>
    <w:tmpl w:val="A04C32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CA6F50"/>
    <w:multiLevelType w:val="hybridMultilevel"/>
    <w:tmpl w:val="587273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677019C"/>
    <w:multiLevelType w:val="hybridMultilevel"/>
    <w:tmpl w:val="C8306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596E83"/>
    <w:multiLevelType w:val="hybridMultilevel"/>
    <w:tmpl w:val="ECFC0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86D22B9"/>
    <w:multiLevelType w:val="hybridMultilevel"/>
    <w:tmpl w:val="759A0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F52440"/>
    <w:multiLevelType w:val="hybridMultilevel"/>
    <w:tmpl w:val="BE80C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FF31582"/>
    <w:multiLevelType w:val="hybridMultilevel"/>
    <w:tmpl w:val="BA96A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357A63"/>
    <w:multiLevelType w:val="hybridMultilevel"/>
    <w:tmpl w:val="124AE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D8C387F"/>
    <w:multiLevelType w:val="hybridMultilevel"/>
    <w:tmpl w:val="36BE67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3BA549E"/>
    <w:multiLevelType w:val="hybridMultilevel"/>
    <w:tmpl w:val="F52A05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6258FA"/>
    <w:multiLevelType w:val="hybridMultilevel"/>
    <w:tmpl w:val="5358E9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C48085C"/>
    <w:multiLevelType w:val="hybridMultilevel"/>
    <w:tmpl w:val="D5E42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667990"/>
    <w:multiLevelType w:val="hybridMultilevel"/>
    <w:tmpl w:val="BB1245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06C63C9"/>
    <w:multiLevelType w:val="hybridMultilevel"/>
    <w:tmpl w:val="407639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64948FE"/>
    <w:multiLevelType w:val="hybridMultilevel"/>
    <w:tmpl w:val="F402B9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C263456"/>
    <w:multiLevelType w:val="hybridMultilevel"/>
    <w:tmpl w:val="F280E0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62000C"/>
    <w:multiLevelType w:val="hybridMultilevel"/>
    <w:tmpl w:val="F16C542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10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06A6647"/>
    <w:multiLevelType w:val="hybridMultilevel"/>
    <w:tmpl w:val="1130DF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48C7623"/>
    <w:multiLevelType w:val="hybridMultilevel"/>
    <w:tmpl w:val="00A885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6CE2038"/>
    <w:multiLevelType w:val="hybridMultilevel"/>
    <w:tmpl w:val="74369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9701788"/>
    <w:multiLevelType w:val="hybridMultilevel"/>
    <w:tmpl w:val="FD2AF8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59611984">
    <w:abstractNumId w:val="7"/>
  </w:num>
  <w:num w:numId="2" w16cid:durableId="1647709719">
    <w:abstractNumId w:val="10"/>
  </w:num>
  <w:num w:numId="3" w16cid:durableId="1958753279">
    <w:abstractNumId w:val="2"/>
  </w:num>
  <w:num w:numId="4" w16cid:durableId="1036321119">
    <w:abstractNumId w:val="12"/>
  </w:num>
  <w:num w:numId="5" w16cid:durableId="2099598263">
    <w:abstractNumId w:val="11"/>
  </w:num>
  <w:num w:numId="6" w16cid:durableId="88158146">
    <w:abstractNumId w:val="17"/>
  </w:num>
  <w:num w:numId="7" w16cid:durableId="1018196172">
    <w:abstractNumId w:val="1"/>
  </w:num>
  <w:num w:numId="8" w16cid:durableId="1791128743">
    <w:abstractNumId w:val="20"/>
  </w:num>
  <w:num w:numId="9" w16cid:durableId="2015843440">
    <w:abstractNumId w:val="0"/>
  </w:num>
  <w:num w:numId="10" w16cid:durableId="1081214058">
    <w:abstractNumId w:val="21"/>
  </w:num>
  <w:num w:numId="11" w16cid:durableId="55128110">
    <w:abstractNumId w:val="5"/>
  </w:num>
  <w:num w:numId="12" w16cid:durableId="649139006">
    <w:abstractNumId w:val="15"/>
  </w:num>
  <w:num w:numId="13" w16cid:durableId="1166281107">
    <w:abstractNumId w:val="4"/>
  </w:num>
  <w:num w:numId="14" w16cid:durableId="1884364734">
    <w:abstractNumId w:val="19"/>
  </w:num>
  <w:num w:numId="15" w16cid:durableId="397213815">
    <w:abstractNumId w:val="22"/>
  </w:num>
  <w:num w:numId="16" w16cid:durableId="248077844">
    <w:abstractNumId w:val="16"/>
  </w:num>
  <w:num w:numId="17" w16cid:durableId="1999840339">
    <w:abstractNumId w:val="9"/>
  </w:num>
  <w:num w:numId="18" w16cid:durableId="840974733">
    <w:abstractNumId w:val="3"/>
  </w:num>
  <w:num w:numId="19" w16cid:durableId="599875038">
    <w:abstractNumId w:val="13"/>
  </w:num>
  <w:num w:numId="20" w16cid:durableId="632491498">
    <w:abstractNumId w:val="23"/>
  </w:num>
  <w:num w:numId="21" w16cid:durableId="1029068256">
    <w:abstractNumId w:val="8"/>
  </w:num>
  <w:num w:numId="22" w16cid:durableId="1503542611">
    <w:abstractNumId w:val="14"/>
  </w:num>
  <w:num w:numId="23" w16cid:durableId="1646932370">
    <w:abstractNumId w:val="18"/>
  </w:num>
  <w:num w:numId="24" w16cid:durableId="280844604">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displayBackgroundShape/>
  <w:proofState w:spelling="clean" w:grammar="clean"/>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7C"/>
    <w:rsid w:val="000010AF"/>
    <w:rsid w:val="000014A0"/>
    <w:rsid w:val="00001B0F"/>
    <w:rsid w:val="00001E10"/>
    <w:rsid w:val="000027B8"/>
    <w:rsid w:val="00002F9B"/>
    <w:rsid w:val="000043FA"/>
    <w:rsid w:val="00005BCF"/>
    <w:rsid w:val="00007184"/>
    <w:rsid w:val="00010B1D"/>
    <w:rsid w:val="0001161A"/>
    <w:rsid w:val="0001164E"/>
    <w:rsid w:val="00012761"/>
    <w:rsid w:val="000138FB"/>
    <w:rsid w:val="00014945"/>
    <w:rsid w:val="00014E85"/>
    <w:rsid w:val="00015169"/>
    <w:rsid w:val="0001570A"/>
    <w:rsid w:val="00017719"/>
    <w:rsid w:val="000224E3"/>
    <w:rsid w:val="00023468"/>
    <w:rsid w:val="00023E23"/>
    <w:rsid w:val="00024758"/>
    <w:rsid w:val="00024F87"/>
    <w:rsid w:val="00025015"/>
    <w:rsid w:val="00025789"/>
    <w:rsid w:val="00026B55"/>
    <w:rsid w:val="000274F1"/>
    <w:rsid w:val="00027980"/>
    <w:rsid w:val="00027AE0"/>
    <w:rsid w:val="0003017C"/>
    <w:rsid w:val="0003174C"/>
    <w:rsid w:val="00031A5E"/>
    <w:rsid w:val="000332EF"/>
    <w:rsid w:val="00033709"/>
    <w:rsid w:val="00034C7D"/>
    <w:rsid w:val="00035751"/>
    <w:rsid w:val="0003633B"/>
    <w:rsid w:val="00036468"/>
    <w:rsid w:val="000367F3"/>
    <w:rsid w:val="0003774C"/>
    <w:rsid w:val="00037BB7"/>
    <w:rsid w:val="00037E92"/>
    <w:rsid w:val="00040A9E"/>
    <w:rsid w:val="000414D7"/>
    <w:rsid w:val="00041578"/>
    <w:rsid w:val="00041ED2"/>
    <w:rsid w:val="0004429C"/>
    <w:rsid w:val="00045602"/>
    <w:rsid w:val="000459BA"/>
    <w:rsid w:val="00045D06"/>
    <w:rsid w:val="00046472"/>
    <w:rsid w:val="000465FE"/>
    <w:rsid w:val="00046C30"/>
    <w:rsid w:val="000474DC"/>
    <w:rsid w:val="000478A8"/>
    <w:rsid w:val="00050427"/>
    <w:rsid w:val="00050DD3"/>
    <w:rsid w:val="000515CD"/>
    <w:rsid w:val="000525AA"/>
    <w:rsid w:val="000529B6"/>
    <w:rsid w:val="00052A05"/>
    <w:rsid w:val="000530F3"/>
    <w:rsid w:val="00054436"/>
    <w:rsid w:val="0005462B"/>
    <w:rsid w:val="000549F0"/>
    <w:rsid w:val="0005568D"/>
    <w:rsid w:val="00056A15"/>
    <w:rsid w:val="00057548"/>
    <w:rsid w:val="000602A3"/>
    <w:rsid w:val="00060560"/>
    <w:rsid w:val="00060844"/>
    <w:rsid w:val="00062B59"/>
    <w:rsid w:val="00062D8D"/>
    <w:rsid w:val="00062EF4"/>
    <w:rsid w:val="00063A5D"/>
    <w:rsid w:val="000659A7"/>
    <w:rsid w:val="00066292"/>
    <w:rsid w:val="00066AEE"/>
    <w:rsid w:val="00066DF8"/>
    <w:rsid w:val="00067B98"/>
    <w:rsid w:val="0007040C"/>
    <w:rsid w:val="00070F20"/>
    <w:rsid w:val="00070FB4"/>
    <w:rsid w:val="00071D91"/>
    <w:rsid w:val="000721BA"/>
    <w:rsid w:val="00072EB7"/>
    <w:rsid w:val="0007448A"/>
    <w:rsid w:val="000754BF"/>
    <w:rsid w:val="000759CB"/>
    <w:rsid w:val="00075BCC"/>
    <w:rsid w:val="000760BA"/>
    <w:rsid w:val="0007622D"/>
    <w:rsid w:val="000773D9"/>
    <w:rsid w:val="00081773"/>
    <w:rsid w:val="00081DD3"/>
    <w:rsid w:val="00082B5B"/>
    <w:rsid w:val="00083475"/>
    <w:rsid w:val="00084C48"/>
    <w:rsid w:val="0008521B"/>
    <w:rsid w:val="00086C15"/>
    <w:rsid w:val="0008758A"/>
    <w:rsid w:val="0009007D"/>
    <w:rsid w:val="00090173"/>
    <w:rsid w:val="000905AA"/>
    <w:rsid w:val="000924FD"/>
    <w:rsid w:val="00092D36"/>
    <w:rsid w:val="000936B7"/>
    <w:rsid w:val="000940E0"/>
    <w:rsid w:val="00094696"/>
    <w:rsid w:val="000948F3"/>
    <w:rsid w:val="00094BC4"/>
    <w:rsid w:val="0009568D"/>
    <w:rsid w:val="00096748"/>
    <w:rsid w:val="00096833"/>
    <w:rsid w:val="000973FE"/>
    <w:rsid w:val="00097D16"/>
    <w:rsid w:val="000A427E"/>
    <w:rsid w:val="000A64B0"/>
    <w:rsid w:val="000A6A61"/>
    <w:rsid w:val="000A79F4"/>
    <w:rsid w:val="000B0128"/>
    <w:rsid w:val="000B1AC0"/>
    <w:rsid w:val="000B2D14"/>
    <w:rsid w:val="000B34C3"/>
    <w:rsid w:val="000B371E"/>
    <w:rsid w:val="000B438E"/>
    <w:rsid w:val="000B4DBC"/>
    <w:rsid w:val="000B4E19"/>
    <w:rsid w:val="000B581E"/>
    <w:rsid w:val="000B68C7"/>
    <w:rsid w:val="000B6DA7"/>
    <w:rsid w:val="000C2000"/>
    <w:rsid w:val="000C41F0"/>
    <w:rsid w:val="000C58CC"/>
    <w:rsid w:val="000C59D4"/>
    <w:rsid w:val="000C5F12"/>
    <w:rsid w:val="000C6DF8"/>
    <w:rsid w:val="000C7008"/>
    <w:rsid w:val="000C781A"/>
    <w:rsid w:val="000D0C1C"/>
    <w:rsid w:val="000D2EFE"/>
    <w:rsid w:val="000D2FCE"/>
    <w:rsid w:val="000D517B"/>
    <w:rsid w:val="000D57CE"/>
    <w:rsid w:val="000D5C3F"/>
    <w:rsid w:val="000D7164"/>
    <w:rsid w:val="000D7369"/>
    <w:rsid w:val="000D7B1C"/>
    <w:rsid w:val="000E070C"/>
    <w:rsid w:val="000E10BC"/>
    <w:rsid w:val="000E120B"/>
    <w:rsid w:val="000E1968"/>
    <w:rsid w:val="000E2BC5"/>
    <w:rsid w:val="000E3FDC"/>
    <w:rsid w:val="000E414A"/>
    <w:rsid w:val="000E422A"/>
    <w:rsid w:val="000E4781"/>
    <w:rsid w:val="000E518D"/>
    <w:rsid w:val="000E770D"/>
    <w:rsid w:val="000E7E81"/>
    <w:rsid w:val="000F0B8B"/>
    <w:rsid w:val="000F1F59"/>
    <w:rsid w:val="000F2363"/>
    <w:rsid w:val="000F2C11"/>
    <w:rsid w:val="000F34AB"/>
    <w:rsid w:val="000F47BC"/>
    <w:rsid w:val="000F4A3D"/>
    <w:rsid w:val="000F4C02"/>
    <w:rsid w:val="000F51AD"/>
    <w:rsid w:val="000F569E"/>
    <w:rsid w:val="000F5D15"/>
    <w:rsid w:val="000F603D"/>
    <w:rsid w:val="000F6365"/>
    <w:rsid w:val="001007AD"/>
    <w:rsid w:val="0010125F"/>
    <w:rsid w:val="001039BE"/>
    <w:rsid w:val="00103BB1"/>
    <w:rsid w:val="00103F97"/>
    <w:rsid w:val="001042FC"/>
    <w:rsid w:val="001067A7"/>
    <w:rsid w:val="00107F1C"/>
    <w:rsid w:val="00111871"/>
    <w:rsid w:val="00111BBE"/>
    <w:rsid w:val="0011260B"/>
    <w:rsid w:val="00112BAA"/>
    <w:rsid w:val="00113E08"/>
    <w:rsid w:val="00114BF6"/>
    <w:rsid w:val="00114FFF"/>
    <w:rsid w:val="0011544B"/>
    <w:rsid w:val="001169DF"/>
    <w:rsid w:val="00117905"/>
    <w:rsid w:val="00117AD5"/>
    <w:rsid w:val="00117E0A"/>
    <w:rsid w:val="00120B1A"/>
    <w:rsid w:val="001215FD"/>
    <w:rsid w:val="00121E17"/>
    <w:rsid w:val="00121ED0"/>
    <w:rsid w:val="00121ED6"/>
    <w:rsid w:val="00123032"/>
    <w:rsid w:val="001233BE"/>
    <w:rsid w:val="00124861"/>
    <w:rsid w:val="001274D6"/>
    <w:rsid w:val="0012785B"/>
    <w:rsid w:val="00130B4B"/>
    <w:rsid w:val="00130CED"/>
    <w:rsid w:val="00131F0E"/>
    <w:rsid w:val="00133204"/>
    <w:rsid w:val="00135B69"/>
    <w:rsid w:val="00135B72"/>
    <w:rsid w:val="001360EB"/>
    <w:rsid w:val="00140086"/>
    <w:rsid w:val="0014036E"/>
    <w:rsid w:val="00140CB8"/>
    <w:rsid w:val="001423DC"/>
    <w:rsid w:val="001423F6"/>
    <w:rsid w:val="00142EDB"/>
    <w:rsid w:val="001450BF"/>
    <w:rsid w:val="001457EC"/>
    <w:rsid w:val="00145DE5"/>
    <w:rsid w:val="00146A67"/>
    <w:rsid w:val="001471DF"/>
    <w:rsid w:val="00147A6C"/>
    <w:rsid w:val="001500E5"/>
    <w:rsid w:val="001508D0"/>
    <w:rsid w:val="00151667"/>
    <w:rsid w:val="00151FA7"/>
    <w:rsid w:val="001527D0"/>
    <w:rsid w:val="00152FF7"/>
    <w:rsid w:val="00152FFA"/>
    <w:rsid w:val="0015462C"/>
    <w:rsid w:val="001546A1"/>
    <w:rsid w:val="001549BF"/>
    <w:rsid w:val="001557EC"/>
    <w:rsid w:val="00156E54"/>
    <w:rsid w:val="00157B87"/>
    <w:rsid w:val="00160ABA"/>
    <w:rsid w:val="00161656"/>
    <w:rsid w:val="00161F0E"/>
    <w:rsid w:val="001622CA"/>
    <w:rsid w:val="0016356C"/>
    <w:rsid w:val="001649BD"/>
    <w:rsid w:val="001702E2"/>
    <w:rsid w:val="001708E4"/>
    <w:rsid w:val="00170A03"/>
    <w:rsid w:val="001714E8"/>
    <w:rsid w:val="001722FC"/>
    <w:rsid w:val="00174CEE"/>
    <w:rsid w:val="00175C0C"/>
    <w:rsid w:val="00176A6E"/>
    <w:rsid w:val="0017727C"/>
    <w:rsid w:val="0018076D"/>
    <w:rsid w:val="00181629"/>
    <w:rsid w:val="001817DE"/>
    <w:rsid w:val="00182427"/>
    <w:rsid w:val="00183E6C"/>
    <w:rsid w:val="001846EC"/>
    <w:rsid w:val="001869A5"/>
    <w:rsid w:val="00186ECE"/>
    <w:rsid w:val="00187E0C"/>
    <w:rsid w:val="00191186"/>
    <w:rsid w:val="0019143F"/>
    <w:rsid w:val="0019342B"/>
    <w:rsid w:val="001941C6"/>
    <w:rsid w:val="001978AF"/>
    <w:rsid w:val="001A0917"/>
    <w:rsid w:val="001A0DC2"/>
    <w:rsid w:val="001A1048"/>
    <w:rsid w:val="001A1149"/>
    <w:rsid w:val="001A27F4"/>
    <w:rsid w:val="001A430B"/>
    <w:rsid w:val="001A453F"/>
    <w:rsid w:val="001A4905"/>
    <w:rsid w:val="001A67A3"/>
    <w:rsid w:val="001A6981"/>
    <w:rsid w:val="001A6DDB"/>
    <w:rsid w:val="001A754A"/>
    <w:rsid w:val="001B0299"/>
    <w:rsid w:val="001B191D"/>
    <w:rsid w:val="001B19B3"/>
    <w:rsid w:val="001B1B08"/>
    <w:rsid w:val="001B1B10"/>
    <w:rsid w:val="001B1D79"/>
    <w:rsid w:val="001B30F4"/>
    <w:rsid w:val="001B38BD"/>
    <w:rsid w:val="001B440D"/>
    <w:rsid w:val="001B5A88"/>
    <w:rsid w:val="001B5F10"/>
    <w:rsid w:val="001B6C17"/>
    <w:rsid w:val="001B723B"/>
    <w:rsid w:val="001B7488"/>
    <w:rsid w:val="001B77F4"/>
    <w:rsid w:val="001C058F"/>
    <w:rsid w:val="001C16E6"/>
    <w:rsid w:val="001C1809"/>
    <w:rsid w:val="001C24D7"/>
    <w:rsid w:val="001C24E9"/>
    <w:rsid w:val="001C2EE4"/>
    <w:rsid w:val="001C3041"/>
    <w:rsid w:val="001C561C"/>
    <w:rsid w:val="001C6056"/>
    <w:rsid w:val="001C7304"/>
    <w:rsid w:val="001C73E3"/>
    <w:rsid w:val="001C75B4"/>
    <w:rsid w:val="001C77A9"/>
    <w:rsid w:val="001D0C98"/>
    <w:rsid w:val="001D3843"/>
    <w:rsid w:val="001D3A2A"/>
    <w:rsid w:val="001D40FE"/>
    <w:rsid w:val="001D42BA"/>
    <w:rsid w:val="001D55B4"/>
    <w:rsid w:val="001D5891"/>
    <w:rsid w:val="001D5BC7"/>
    <w:rsid w:val="001D5D21"/>
    <w:rsid w:val="001D613C"/>
    <w:rsid w:val="001D66F4"/>
    <w:rsid w:val="001E0C8E"/>
    <w:rsid w:val="001E40BD"/>
    <w:rsid w:val="001E45F9"/>
    <w:rsid w:val="001E48BE"/>
    <w:rsid w:val="001E4F21"/>
    <w:rsid w:val="001E4F67"/>
    <w:rsid w:val="001E4F87"/>
    <w:rsid w:val="001E5554"/>
    <w:rsid w:val="001E6BAD"/>
    <w:rsid w:val="001E7E4E"/>
    <w:rsid w:val="001F0409"/>
    <w:rsid w:val="001F0B1F"/>
    <w:rsid w:val="001F181B"/>
    <w:rsid w:val="001F1F5F"/>
    <w:rsid w:val="001F225E"/>
    <w:rsid w:val="001F2BE5"/>
    <w:rsid w:val="001F3CDC"/>
    <w:rsid w:val="001F47ED"/>
    <w:rsid w:val="001F4E10"/>
    <w:rsid w:val="001F5210"/>
    <w:rsid w:val="001F5212"/>
    <w:rsid w:val="001F5C54"/>
    <w:rsid w:val="001F606D"/>
    <w:rsid w:val="001F60F9"/>
    <w:rsid w:val="001F61C0"/>
    <w:rsid w:val="001F62CD"/>
    <w:rsid w:val="001F6F2C"/>
    <w:rsid w:val="001F79AE"/>
    <w:rsid w:val="00200022"/>
    <w:rsid w:val="0020041C"/>
    <w:rsid w:val="0020090A"/>
    <w:rsid w:val="00200A6C"/>
    <w:rsid w:val="00200EF9"/>
    <w:rsid w:val="002015B9"/>
    <w:rsid w:val="002031A1"/>
    <w:rsid w:val="00203A56"/>
    <w:rsid w:val="00203BEF"/>
    <w:rsid w:val="00204C6F"/>
    <w:rsid w:val="00204ECF"/>
    <w:rsid w:val="0020583E"/>
    <w:rsid w:val="00207016"/>
    <w:rsid w:val="0020722D"/>
    <w:rsid w:val="00207400"/>
    <w:rsid w:val="00207D35"/>
    <w:rsid w:val="00210555"/>
    <w:rsid w:val="00211CF8"/>
    <w:rsid w:val="002124E9"/>
    <w:rsid w:val="002129B8"/>
    <w:rsid w:val="00213462"/>
    <w:rsid w:val="002153FC"/>
    <w:rsid w:val="002160A3"/>
    <w:rsid w:val="00216D76"/>
    <w:rsid w:val="00217595"/>
    <w:rsid w:val="00220B94"/>
    <w:rsid w:val="00220F15"/>
    <w:rsid w:val="00223B30"/>
    <w:rsid w:val="00223C8F"/>
    <w:rsid w:val="00225B2C"/>
    <w:rsid w:val="00226003"/>
    <w:rsid w:val="002308AA"/>
    <w:rsid w:val="00230AAF"/>
    <w:rsid w:val="00230F97"/>
    <w:rsid w:val="002328C6"/>
    <w:rsid w:val="00232D0C"/>
    <w:rsid w:val="00233215"/>
    <w:rsid w:val="00233486"/>
    <w:rsid w:val="002334FD"/>
    <w:rsid w:val="00234660"/>
    <w:rsid w:val="00235893"/>
    <w:rsid w:val="002359DC"/>
    <w:rsid w:val="00235A59"/>
    <w:rsid w:val="00237982"/>
    <w:rsid w:val="00237E5D"/>
    <w:rsid w:val="00240ED1"/>
    <w:rsid w:val="00240F80"/>
    <w:rsid w:val="002413C2"/>
    <w:rsid w:val="002417CC"/>
    <w:rsid w:val="002419E3"/>
    <w:rsid w:val="002423A4"/>
    <w:rsid w:val="00243AE2"/>
    <w:rsid w:val="00245F47"/>
    <w:rsid w:val="00247133"/>
    <w:rsid w:val="002471DA"/>
    <w:rsid w:val="002473EE"/>
    <w:rsid w:val="00247B36"/>
    <w:rsid w:val="00251961"/>
    <w:rsid w:val="00252A98"/>
    <w:rsid w:val="00252CA9"/>
    <w:rsid w:val="00253BC5"/>
    <w:rsid w:val="0025475E"/>
    <w:rsid w:val="002547F6"/>
    <w:rsid w:val="002557DA"/>
    <w:rsid w:val="0025650F"/>
    <w:rsid w:val="0025762A"/>
    <w:rsid w:val="002576D0"/>
    <w:rsid w:val="0026032A"/>
    <w:rsid w:val="00260557"/>
    <w:rsid w:val="00262824"/>
    <w:rsid w:val="00262EC4"/>
    <w:rsid w:val="002633F0"/>
    <w:rsid w:val="00263B6B"/>
    <w:rsid w:val="00263DA9"/>
    <w:rsid w:val="00263FB3"/>
    <w:rsid w:val="00265A29"/>
    <w:rsid w:val="00265B77"/>
    <w:rsid w:val="002661C6"/>
    <w:rsid w:val="002667CC"/>
    <w:rsid w:val="0026721F"/>
    <w:rsid w:val="00267E0B"/>
    <w:rsid w:val="00272F41"/>
    <w:rsid w:val="002730AF"/>
    <w:rsid w:val="00273FD0"/>
    <w:rsid w:val="00276E52"/>
    <w:rsid w:val="002777F6"/>
    <w:rsid w:val="002812DE"/>
    <w:rsid w:val="00281428"/>
    <w:rsid w:val="002832FE"/>
    <w:rsid w:val="002833B2"/>
    <w:rsid w:val="002839CE"/>
    <w:rsid w:val="002857C0"/>
    <w:rsid w:val="00287309"/>
    <w:rsid w:val="00287F6B"/>
    <w:rsid w:val="002902F0"/>
    <w:rsid w:val="00290CE2"/>
    <w:rsid w:val="00290E2F"/>
    <w:rsid w:val="00291968"/>
    <w:rsid w:val="0029288F"/>
    <w:rsid w:val="00292C35"/>
    <w:rsid w:val="00292D62"/>
    <w:rsid w:val="00293159"/>
    <w:rsid w:val="0029422B"/>
    <w:rsid w:val="002947AB"/>
    <w:rsid w:val="002957CF"/>
    <w:rsid w:val="00295A86"/>
    <w:rsid w:val="00296313"/>
    <w:rsid w:val="002964AF"/>
    <w:rsid w:val="002965B8"/>
    <w:rsid w:val="0029677A"/>
    <w:rsid w:val="0029789B"/>
    <w:rsid w:val="002979DF"/>
    <w:rsid w:val="002A03EA"/>
    <w:rsid w:val="002A14AD"/>
    <w:rsid w:val="002A1A4C"/>
    <w:rsid w:val="002A423E"/>
    <w:rsid w:val="002A5A46"/>
    <w:rsid w:val="002A6554"/>
    <w:rsid w:val="002B0E9A"/>
    <w:rsid w:val="002B4AE5"/>
    <w:rsid w:val="002B6B6B"/>
    <w:rsid w:val="002B7A45"/>
    <w:rsid w:val="002C01EB"/>
    <w:rsid w:val="002C182C"/>
    <w:rsid w:val="002C1EEF"/>
    <w:rsid w:val="002C4702"/>
    <w:rsid w:val="002C786F"/>
    <w:rsid w:val="002C7CCB"/>
    <w:rsid w:val="002C7D7E"/>
    <w:rsid w:val="002D00E3"/>
    <w:rsid w:val="002D111C"/>
    <w:rsid w:val="002D1F09"/>
    <w:rsid w:val="002D20AB"/>
    <w:rsid w:val="002D2A70"/>
    <w:rsid w:val="002D31D7"/>
    <w:rsid w:val="002D32EA"/>
    <w:rsid w:val="002D37CF"/>
    <w:rsid w:val="002D4049"/>
    <w:rsid w:val="002D4DC3"/>
    <w:rsid w:val="002D5510"/>
    <w:rsid w:val="002D5B1F"/>
    <w:rsid w:val="002D6860"/>
    <w:rsid w:val="002D7604"/>
    <w:rsid w:val="002E03E1"/>
    <w:rsid w:val="002E067F"/>
    <w:rsid w:val="002E2B1A"/>
    <w:rsid w:val="002E31DA"/>
    <w:rsid w:val="002E3B91"/>
    <w:rsid w:val="002E3D8F"/>
    <w:rsid w:val="002E4044"/>
    <w:rsid w:val="002E424D"/>
    <w:rsid w:val="002E54FD"/>
    <w:rsid w:val="002E6290"/>
    <w:rsid w:val="002F00A1"/>
    <w:rsid w:val="002F0722"/>
    <w:rsid w:val="002F1305"/>
    <w:rsid w:val="002F13B7"/>
    <w:rsid w:val="002F155B"/>
    <w:rsid w:val="002F20A1"/>
    <w:rsid w:val="002F21B3"/>
    <w:rsid w:val="002F2FBA"/>
    <w:rsid w:val="002F3578"/>
    <w:rsid w:val="002F4502"/>
    <w:rsid w:val="002F4CBE"/>
    <w:rsid w:val="002F536F"/>
    <w:rsid w:val="002F565F"/>
    <w:rsid w:val="002F5F1C"/>
    <w:rsid w:val="002F7326"/>
    <w:rsid w:val="002F77DF"/>
    <w:rsid w:val="002F7FF2"/>
    <w:rsid w:val="00304219"/>
    <w:rsid w:val="00304D83"/>
    <w:rsid w:val="0030533B"/>
    <w:rsid w:val="00305359"/>
    <w:rsid w:val="003072E8"/>
    <w:rsid w:val="00310110"/>
    <w:rsid w:val="00310C2D"/>
    <w:rsid w:val="0031208D"/>
    <w:rsid w:val="00312854"/>
    <w:rsid w:val="00313146"/>
    <w:rsid w:val="003140FE"/>
    <w:rsid w:val="00314D4E"/>
    <w:rsid w:val="00314EEE"/>
    <w:rsid w:val="00314F05"/>
    <w:rsid w:val="00316C1B"/>
    <w:rsid w:val="00317603"/>
    <w:rsid w:val="00317AC8"/>
    <w:rsid w:val="00320E38"/>
    <w:rsid w:val="00321456"/>
    <w:rsid w:val="0032244A"/>
    <w:rsid w:val="00322463"/>
    <w:rsid w:val="00322C66"/>
    <w:rsid w:val="003238B5"/>
    <w:rsid w:val="003242B9"/>
    <w:rsid w:val="00326F26"/>
    <w:rsid w:val="003277DF"/>
    <w:rsid w:val="00327C32"/>
    <w:rsid w:val="0033033C"/>
    <w:rsid w:val="00331CC9"/>
    <w:rsid w:val="00331F51"/>
    <w:rsid w:val="0033254E"/>
    <w:rsid w:val="00333E89"/>
    <w:rsid w:val="00333F39"/>
    <w:rsid w:val="00334A92"/>
    <w:rsid w:val="0033521A"/>
    <w:rsid w:val="003406DA"/>
    <w:rsid w:val="003410F0"/>
    <w:rsid w:val="00342FEB"/>
    <w:rsid w:val="003449AE"/>
    <w:rsid w:val="00344D66"/>
    <w:rsid w:val="0034525B"/>
    <w:rsid w:val="0034558C"/>
    <w:rsid w:val="00345F40"/>
    <w:rsid w:val="003462A6"/>
    <w:rsid w:val="00350117"/>
    <w:rsid w:val="00350BBB"/>
    <w:rsid w:val="00351D27"/>
    <w:rsid w:val="00352A10"/>
    <w:rsid w:val="00352FB2"/>
    <w:rsid w:val="00353918"/>
    <w:rsid w:val="003541B2"/>
    <w:rsid w:val="003562DC"/>
    <w:rsid w:val="003566D1"/>
    <w:rsid w:val="00356DD0"/>
    <w:rsid w:val="00356F46"/>
    <w:rsid w:val="003578CF"/>
    <w:rsid w:val="003603B3"/>
    <w:rsid w:val="00360D63"/>
    <w:rsid w:val="00362780"/>
    <w:rsid w:val="00362D3A"/>
    <w:rsid w:val="00363411"/>
    <w:rsid w:val="00365645"/>
    <w:rsid w:val="00365D3D"/>
    <w:rsid w:val="003665A7"/>
    <w:rsid w:val="00366BEC"/>
    <w:rsid w:val="00367786"/>
    <w:rsid w:val="00370E7D"/>
    <w:rsid w:val="003713D1"/>
    <w:rsid w:val="0037224C"/>
    <w:rsid w:val="003727A8"/>
    <w:rsid w:val="00373E74"/>
    <w:rsid w:val="0037491A"/>
    <w:rsid w:val="003749A4"/>
    <w:rsid w:val="00374CEC"/>
    <w:rsid w:val="00374E71"/>
    <w:rsid w:val="00375276"/>
    <w:rsid w:val="00376588"/>
    <w:rsid w:val="00376713"/>
    <w:rsid w:val="00382430"/>
    <w:rsid w:val="00384255"/>
    <w:rsid w:val="00384CB7"/>
    <w:rsid w:val="00384FC7"/>
    <w:rsid w:val="00385468"/>
    <w:rsid w:val="00385D49"/>
    <w:rsid w:val="00385FF5"/>
    <w:rsid w:val="003863E3"/>
    <w:rsid w:val="00386C5D"/>
    <w:rsid w:val="00390551"/>
    <w:rsid w:val="003906D6"/>
    <w:rsid w:val="00391C08"/>
    <w:rsid w:val="00392C44"/>
    <w:rsid w:val="003934CB"/>
    <w:rsid w:val="00394A7D"/>
    <w:rsid w:val="00395173"/>
    <w:rsid w:val="00396757"/>
    <w:rsid w:val="003977CC"/>
    <w:rsid w:val="00397ADB"/>
    <w:rsid w:val="003A00D0"/>
    <w:rsid w:val="003A03A7"/>
    <w:rsid w:val="003A0A3D"/>
    <w:rsid w:val="003A22B7"/>
    <w:rsid w:val="003A2D05"/>
    <w:rsid w:val="003A3CC4"/>
    <w:rsid w:val="003A49D8"/>
    <w:rsid w:val="003A4E9B"/>
    <w:rsid w:val="003A5738"/>
    <w:rsid w:val="003A6F11"/>
    <w:rsid w:val="003A7450"/>
    <w:rsid w:val="003B163A"/>
    <w:rsid w:val="003B1A9C"/>
    <w:rsid w:val="003B245B"/>
    <w:rsid w:val="003B254E"/>
    <w:rsid w:val="003B3488"/>
    <w:rsid w:val="003B3BA6"/>
    <w:rsid w:val="003B3F7D"/>
    <w:rsid w:val="003B4F7C"/>
    <w:rsid w:val="003B6DF2"/>
    <w:rsid w:val="003C05C2"/>
    <w:rsid w:val="003C1139"/>
    <w:rsid w:val="003C261F"/>
    <w:rsid w:val="003C2C47"/>
    <w:rsid w:val="003C4488"/>
    <w:rsid w:val="003C473A"/>
    <w:rsid w:val="003C475D"/>
    <w:rsid w:val="003C5036"/>
    <w:rsid w:val="003C53B9"/>
    <w:rsid w:val="003C5B8D"/>
    <w:rsid w:val="003C6EE3"/>
    <w:rsid w:val="003C782F"/>
    <w:rsid w:val="003C7F0D"/>
    <w:rsid w:val="003D0684"/>
    <w:rsid w:val="003D0771"/>
    <w:rsid w:val="003D083B"/>
    <w:rsid w:val="003D0FB3"/>
    <w:rsid w:val="003D18CC"/>
    <w:rsid w:val="003D1E85"/>
    <w:rsid w:val="003D2662"/>
    <w:rsid w:val="003D2702"/>
    <w:rsid w:val="003D2BAE"/>
    <w:rsid w:val="003D3C08"/>
    <w:rsid w:val="003D3CC6"/>
    <w:rsid w:val="003D3F19"/>
    <w:rsid w:val="003D470A"/>
    <w:rsid w:val="003D49D0"/>
    <w:rsid w:val="003D4EA8"/>
    <w:rsid w:val="003D5106"/>
    <w:rsid w:val="003D741F"/>
    <w:rsid w:val="003D752C"/>
    <w:rsid w:val="003E0288"/>
    <w:rsid w:val="003E0B35"/>
    <w:rsid w:val="003E174E"/>
    <w:rsid w:val="003E2138"/>
    <w:rsid w:val="003E2A75"/>
    <w:rsid w:val="003E3B56"/>
    <w:rsid w:val="003E3CEF"/>
    <w:rsid w:val="003E3D89"/>
    <w:rsid w:val="003E4080"/>
    <w:rsid w:val="003E4468"/>
    <w:rsid w:val="003E4A0A"/>
    <w:rsid w:val="003E4F27"/>
    <w:rsid w:val="003E594C"/>
    <w:rsid w:val="003E66A2"/>
    <w:rsid w:val="003E6EC6"/>
    <w:rsid w:val="003E7F6B"/>
    <w:rsid w:val="003F07F5"/>
    <w:rsid w:val="003F087C"/>
    <w:rsid w:val="003F13DC"/>
    <w:rsid w:val="003F189D"/>
    <w:rsid w:val="003F2419"/>
    <w:rsid w:val="003F6D0E"/>
    <w:rsid w:val="00400237"/>
    <w:rsid w:val="004006DE"/>
    <w:rsid w:val="00401725"/>
    <w:rsid w:val="0040383A"/>
    <w:rsid w:val="004048B8"/>
    <w:rsid w:val="00405ACE"/>
    <w:rsid w:val="004068EB"/>
    <w:rsid w:val="00406B9D"/>
    <w:rsid w:val="00406BAA"/>
    <w:rsid w:val="0041107A"/>
    <w:rsid w:val="004138B7"/>
    <w:rsid w:val="00414A77"/>
    <w:rsid w:val="00415CAC"/>
    <w:rsid w:val="00415D04"/>
    <w:rsid w:val="00415E79"/>
    <w:rsid w:val="00416046"/>
    <w:rsid w:val="0041614D"/>
    <w:rsid w:val="00416C5B"/>
    <w:rsid w:val="00417899"/>
    <w:rsid w:val="00417A61"/>
    <w:rsid w:val="00420A2D"/>
    <w:rsid w:val="00421B30"/>
    <w:rsid w:val="00421EDF"/>
    <w:rsid w:val="00422A84"/>
    <w:rsid w:val="00423CCB"/>
    <w:rsid w:val="0042413A"/>
    <w:rsid w:val="004242C9"/>
    <w:rsid w:val="00424453"/>
    <w:rsid w:val="00425693"/>
    <w:rsid w:val="00427F1C"/>
    <w:rsid w:val="00430076"/>
    <w:rsid w:val="004312D1"/>
    <w:rsid w:val="00431A80"/>
    <w:rsid w:val="00432F12"/>
    <w:rsid w:val="00433ACC"/>
    <w:rsid w:val="00434803"/>
    <w:rsid w:val="0043509A"/>
    <w:rsid w:val="004369F3"/>
    <w:rsid w:val="0043795C"/>
    <w:rsid w:val="0044009A"/>
    <w:rsid w:val="0044025A"/>
    <w:rsid w:val="00440366"/>
    <w:rsid w:val="004411D4"/>
    <w:rsid w:val="004412BD"/>
    <w:rsid w:val="004427E4"/>
    <w:rsid w:val="004428E7"/>
    <w:rsid w:val="0044299A"/>
    <w:rsid w:val="004433E0"/>
    <w:rsid w:val="004436EB"/>
    <w:rsid w:val="00444AD8"/>
    <w:rsid w:val="004478A3"/>
    <w:rsid w:val="00447C1F"/>
    <w:rsid w:val="0045050D"/>
    <w:rsid w:val="004530C6"/>
    <w:rsid w:val="00453756"/>
    <w:rsid w:val="00453957"/>
    <w:rsid w:val="00454D6D"/>
    <w:rsid w:val="00455098"/>
    <w:rsid w:val="00455342"/>
    <w:rsid w:val="004559BC"/>
    <w:rsid w:val="00455CEB"/>
    <w:rsid w:val="004564B9"/>
    <w:rsid w:val="00456942"/>
    <w:rsid w:val="00456F30"/>
    <w:rsid w:val="004579B5"/>
    <w:rsid w:val="004618FC"/>
    <w:rsid w:val="004624D3"/>
    <w:rsid w:val="004626D9"/>
    <w:rsid w:val="00462A01"/>
    <w:rsid w:val="00463079"/>
    <w:rsid w:val="00463705"/>
    <w:rsid w:val="00463E6F"/>
    <w:rsid w:val="00465E50"/>
    <w:rsid w:val="0046685E"/>
    <w:rsid w:val="0047053F"/>
    <w:rsid w:val="00470878"/>
    <w:rsid w:val="00471623"/>
    <w:rsid w:val="0047194E"/>
    <w:rsid w:val="00473C44"/>
    <w:rsid w:val="00474A31"/>
    <w:rsid w:val="0047556B"/>
    <w:rsid w:val="0047638A"/>
    <w:rsid w:val="00476D7A"/>
    <w:rsid w:val="00477AA4"/>
    <w:rsid w:val="00477D19"/>
    <w:rsid w:val="00477FF4"/>
    <w:rsid w:val="00481081"/>
    <w:rsid w:val="00484E25"/>
    <w:rsid w:val="004855B4"/>
    <w:rsid w:val="0048657A"/>
    <w:rsid w:val="00486716"/>
    <w:rsid w:val="00486F1E"/>
    <w:rsid w:val="00486FC9"/>
    <w:rsid w:val="00487339"/>
    <w:rsid w:val="00487C7F"/>
    <w:rsid w:val="00491FC6"/>
    <w:rsid w:val="00492A72"/>
    <w:rsid w:val="004954E9"/>
    <w:rsid w:val="004957F6"/>
    <w:rsid w:val="00495FF3"/>
    <w:rsid w:val="00496CE0"/>
    <w:rsid w:val="004A029A"/>
    <w:rsid w:val="004A0BC2"/>
    <w:rsid w:val="004A10E6"/>
    <w:rsid w:val="004A1143"/>
    <w:rsid w:val="004A29A8"/>
    <w:rsid w:val="004A3110"/>
    <w:rsid w:val="004A3D39"/>
    <w:rsid w:val="004A4014"/>
    <w:rsid w:val="004A4AA4"/>
    <w:rsid w:val="004A508F"/>
    <w:rsid w:val="004A5208"/>
    <w:rsid w:val="004A5AF1"/>
    <w:rsid w:val="004A5B33"/>
    <w:rsid w:val="004A6CC7"/>
    <w:rsid w:val="004B21B3"/>
    <w:rsid w:val="004B255A"/>
    <w:rsid w:val="004B2683"/>
    <w:rsid w:val="004B2D87"/>
    <w:rsid w:val="004B476E"/>
    <w:rsid w:val="004B4CAA"/>
    <w:rsid w:val="004B6148"/>
    <w:rsid w:val="004B6A3C"/>
    <w:rsid w:val="004B70EA"/>
    <w:rsid w:val="004C0A9E"/>
    <w:rsid w:val="004C0C67"/>
    <w:rsid w:val="004C2D92"/>
    <w:rsid w:val="004C328E"/>
    <w:rsid w:val="004C3C00"/>
    <w:rsid w:val="004C443F"/>
    <w:rsid w:val="004C4EBF"/>
    <w:rsid w:val="004C4F29"/>
    <w:rsid w:val="004C78EE"/>
    <w:rsid w:val="004C7D17"/>
    <w:rsid w:val="004D0654"/>
    <w:rsid w:val="004D0D64"/>
    <w:rsid w:val="004D0F5B"/>
    <w:rsid w:val="004D38F8"/>
    <w:rsid w:val="004D3CD4"/>
    <w:rsid w:val="004D43A8"/>
    <w:rsid w:val="004D4439"/>
    <w:rsid w:val="004D4D7A"/>
    <w:rsid w:val="004D512E"/>
    <w:rsid w:val="004D6DDE"/>
    <w:rsid w:val="004D7599"/>
    <w:rsid w:val="004E33C4"/>
    <w:rsid w:val="004E3987"/>
    <w:rsid w:val="004E3E04"/>
    <w:rsid w:val="004E3F9C"/>
    <w:rsid w:val="004E4FE8"/>
    <w:rsid w:val="004E5B04"/>
    <w:rsid w:val="004E6D87"/>
    <w:rsid w:val="004E70E2"/>
    <w:rsid w:val="004E720A"/>
    <w:rsid w:val="004E7491"/>
    <w:rsid w:val="004E77D8"/>
    <w:rsid w:val="004F01F8"/>
    <w:rsid w:val="004F1F05"/>
    <w:rsid w:val="004F2F99"/>
    <w:rsid w:val="004F34EA"/>
    <w:rsid w:val="004F35EF"/>
    <w:rsid w:val="004F5CB4"/>
    <w:rsid w:val="004F5ED5"/>
    <w:rsid w:val="004F6C83"/>
    <w:rsid w:val="004F72DD"/>
    <w:rsid w:val="004F777D"/>
    <w:rsid w:val="004F7824"/>
    <w:rsid w:val="00500886"/>
    <w:rsid w:val="00500F91"/>
    <w:rsid w:val="00501DA2"/>
    <w:rsid w:val="0050259C"/>
    <w:rsid w:val="00502E64"/>
    <w:rsid w:val="00503BBB"/>
    <w:rsid w:val="00504DB1"/>
    <w:rsid w:val="00505203"/>
    <w:rsid w:val="0050556B"/>
    <w:rsid w:val="005055BD"/>
    <w:rsid w:val="00505BF3"/>
    <w:rsid w:val="00506185"/>
    <w:rsid w:val="0050641B"/>
    <w:rsid w:val="00506CF2"/>
    <w:rsid w:val="0050735A"/>
    <w:rsid w:val="00507779"/>
    <w:rsid w:val="005103CD"/>
    <w:rsid w:val="00511189"/>
    <w:rsid w:val="00511875"/>
    <w:rsid w:val="00511F7D"/>
    <w:rsid w:val="00512241"/>
    <w:rsid w:val="00512FFC"/>
    <w:rsid w:val="00514025"/>
    <w:rsid w:val="0051413A"/>
    <w:rsid w:val="00514168"/>
    <w:rsid w:val="0051418B"/>
    <w:rsid w:val="0051485A"/>
    <w:rsid w:val="0051679A"/>
    <w:rsid w:val="005167DB"/>
    <w:rsid w:val="00517391"/>
    <w:rsid w:val="0051748F"/>
    <w:rsid w:val="00517532"/>
    <w:rsid w:val="005200BC"/>
    <w:rsid w:val="00522CD1"/>
    <w:rsid w:val="00524CB1"/>
    <w:rsid w:val="00525491"/>
    <w:rsid w:val="005326EC"/>
    <w:rsid w:val="00533329"/>
    <w:rsid w:val="00534433"/>
    <w:rsid w:val="005346A2"/>
    <w:rsid w:val="00534793"/>
    <w:rsid w:val="00535095"/>
    <w:rsid w:val="005355BA"/>
    <w:rsid w:val="0053673F"/>
    <w:rsid w:val="00541DE5"/>
    <w:rsid w:val="005423AC"/>
    <w:rsid w:val="00544B28"/>
    <w:rsid w:val="00545EF9"/>
    <w:rsid w:val="005477E7"/>
    <w:rsid w:val="00551418"/>
    <w:rsid w:val="00551569"/>
    <w:rsid w:val="00551B7A"/>
    <w:rsid w:val="00553487"/>
    <w:rsid w:val="00554350"/>
    <w:rsid w:val="00555BF6"/>
    <w:rsid w:val="005568EE"/>
    <w:rsid w:val="00560757"/>
    <w:rsid w:val="005634C9"/>
    <w:rsid w:val="00563E84"/>
    <w:rsid w:val="00564197"/>
    <w:rsid w:val="00564922"/>
    <w:rsid w:val="00564C77"/>
    <w:rsid w:val="00565EA5"/>
    <w:rsid w:val="0056639D"/>
    <w:rsid w:val="005665F9"/>
    <w:rsid w:val="00566843"/>
    <w:rsid w:val="00566BDF"/>
    <w:rsid w:val="00566CE7"/>
    <w:rsid w:val="00567DC8"/>
    <w:rsid w:val="005706B7"/>
    <w:rsid w:val="00570DFB"/>
    <w:rsid w:val="00571058"/>
    <w:rsid w:val="00572254"/>
    <w:rsid w:val="00573F12"/>
    <w:rsid w:val="005749F7"/>
    <w:rsid w:val="0057517E"/>
    <w:rsid w:val="00576781"/>
    <w:rsid w:val="005806F0"/>
    <w:rsid w:val="0058235F"/>
    <w:rsid w:val="0058337B"/>
    <w:rsid w:val="00583529"/>
    <w:rsid w:val="00583762"/>
    <w:rsid w:val="005843AD"/>
    <w:rsid w:val="00585825"/>
    <w:rsid w:val="00585961"/>
    <w:rsid w:val="00587384"/>
    <w:rsid w:val="00591F63"/>
    <w:rsid w:val="005922DB"/>
    <w:rsid w:val="00593196"/>
    <w:rsid w:val="0059324D"/>
    <w:rsid w:val="00594308"/>
    <w:rsid w:val="0059463E"/>
    <w:rsid w:val="00594CA6"/>
    <w:rsid w:val="00595448"/>
    <w:rsid w:val="00595463"/>
    <w:rsid w:val="00595600"/>
    <w:rsid w:val="0059597F"/>
    <w:rsid w:val="00595E0C"/>
    <w:rsid w:val="00597828"/>
    <w:rsid w:val="005A09FA"/>
    <w:rsid w:val="005A1387"/>
    <w:rsid w:val="005A2A0D"/>
    <w:rsid w:val="005A2D85"/>
    <w:rsid w:val="005A3C97"/>
    <w:rsid w:val="005A54EB"/>
    <w:rsid w:val="005A5AC5"/>
    <w:rsid w:val="005A73E4"/>
    <w:rsid w:val="005B052C"/>
    <w:rsid w:val="005B121F"/>
    <w:rsid w:val="005B625F"/>
    <w:rsid w:val="005C0C34"/>
    <w:rsid w:val="005C0D22"/>
    <w:rsid w:val="005C0F9F"/>
    <w:rsid w:val="005C293E"/>
    <w:rsid w:val="005C492C"/>
    <w:rsid w:val="005C4F1E"/>
    <w:rsid w:val="005C5271"/>
    <w:rsid w:val="005C5A45"/>
    <w:rsid w:val="005C5ED6"/>
    <w:rsid w:val="005C6A88"/>
    <w:rsid w:val="005C6AEC"/>
    <w:rsid w:val="005C7415"/>
    <w:rsid w:val="005C7AE9"/>
    <w:rsid w:val="005C7BEF"/>
    <w:rsid w:val="005D0CC8"/>
    <w:rsid w:val="005D16AE"/>
    <w:rsid w:val="005D1D81"/>
    <w:rsid w:val="005D1EC0"/>
    <w:rsid w:val="005D249C"/>
    <w:rsid w:val="005D29FF"/>
    <w:rsid w:val="005D3AFC"/>
    <w:rsid w:val="005D53E9"/>
    <w:rsid w:val="005D55AE"/>
    <w:rsid w:val="005D5E78"/>
    <w:rsid w:val="005D6828"/>
    <w:rsid w:val="005D7783"/>
    <w:rsid w:val="005D7FA8"/>
    <w:rsid w:val="005E09BC"/>
    <w:rsid w:val="005E0B77"/>
    <w:rsid w:val="005E11D0"/>
    <w:rsid w:val="005E2B79"/>
    <w:rsid w:val="005E2BAB"/>
    <w:rsid w:val="005E2C7B"/>
    <w:rsid w:val="005E373B"/>
    <w:rsid w:val="005E3A4C"/>
    <w:rsid w:val="005E407C"/>
    <w:rsid w:val="005E47B0"/>
    <w:rsid w:val="005E66C8"/>
    <w:rsid w:val="005E7890"/>
    <w:rsid w:val="005F033A"/>
    <w:rsid w:val="005F052B"/>
    <w:rsid w:val="005F0B85"/>
    <w:rsid w:val="005F1443"/>
    <w:rsid w:val="005F1ECD"/>
    <w:rsid w:val="005F1FAD"/>
    <w:rsid w:val="005F2804"/>
    <w:rsid w:val="005F312E"/>
    <w:rsid w:val="005F3843"/>
    <w:rsid w:val="005F3F78"/>
    <w:rsid w:val="005F4F59"/>
    <w:rsid w:val="005F549E"/>
    <w:rsid w:val="005F6383"/>
    <w:rsid w:val="005F64D9"/>
    <w:rsid w:val="005F6F9E"/>
    <w:rsid w:val="006008F9"/>
    <w:rsid w:val="00601088"/>
    <w:rsid w:val="006030DB"/>
    <w:rsid w:val="0060323B"/>
    <w:rsid w:val="00604404"/>
    <w:rsid w:val="00604993"/>
    <w:rsid w:val="00605520"/>
    <w:rsid w:val="006057F4"/>
    <w:rsid w:val="00605D3D"/>
    <w:rsid w:val="006105C3"/>
    <w:rsid w:val="00610E96"/>
    <w:rsid w:val="00611747"/>
    <w:rsid w:val="0061337A"/>
    <w:rsid w:val="006135E0"/>
    <w:rsid w:val="006137E4"/>
    <w:rsid w:val="00613FA7"/>
    <w:rsid w:val="00615A50"/>
    <w:rsid w:val="006174DA"/>
    <w:rsid w:val="00617695"/>
    <w:rsid w:val="00617745"/>
    <w:rsid w:val="0062005B"/>
    <w:rsid w:val="0062069D"/>
    <w:rsid w:val="00620C95"/>
    <w:rsid w:val="0062106D"/>
    <w:rsid w:val="00621A8C"/>
    <w:rsid w:val="00622704"/>
    <w:rsid w:val="0062324D"/>
    <w:rsid w:val="00623DD7"/>
    <w:rsid w:val="00624BF6"/>
    <w:rsid w:val="00625887"/>
    <w:rsid w:val="00625C75"/>
    <w:rsid w:val="00627D30"/>
    <w:rsid w:val="00627FCF"/>
    <w:rsid w:val="00630A29"/>
    <w:rsid w:val="0063257A"/>
    <w:rsid w:val="006353CB"/>
    <w:rsid w:val="00636013"/>
    <w:rsid w:val="00636844"/>
    <w:rsid w:val="00641783"/>
    <w:rsid w:val="0064433D"/>
    <w:rsid w:val="00645577"/>
    <w:rsid w:val="00645EAF"/>
    <w:rsid w:val="00646107"/>
    <w:rsid w:val="00647269"/>
    <w:rsid w:val="00647D01"/>
    <w:rsid w:val="006507DC"/>
    <w:rsid w:val="0065167D"/>
    <w:rsid w:val="00652A46"/>
    <w:rsid w:val="00652A8E"/>
    <w:rsid w:val="00652DC6"/>
    <w:rsid w:val="00652FCB"/>
    <w:rsid w:val="006554B0"/>
    <w:rsid w:val="006565A6"/>
    <w:rsid w:val="00657CE3"/>
    <w:rsid w:val="00657ED4"/>
    <w:rsid w:val="0066088F"/>
    <w:rsid w:val="00660A17"/>
    <w:rsid w:val="006610D3"/>
    <w:rsid w:val="00662F43"/>
    <w:rsid w:val="0066442A"/>
    <w:rsid w:val="0066526A"/>
    <w:rsid w:val="00666C6B"/>
    <w:rsid w:val="0066785C"/>
    <w:rsid w:val="00667A2F"/>
    <w:rsid w:val="006707FD"/>
    <w:rsid w:val="00670F85"/>
    <w:rsid w:val="00671220"/>
    <w:rsid w:val="0067158A"/>
    <w:rsid w:val="00671F21"/>
    <w:rsid w:val="0067240B"/>
    <w:rsid w:val="00672450"/>
    <w:rsid w:val="006726AF"/>
    <w:rsid w:val="00672844"/>
    <w:rsid w:val="00672CF1"/>
    <w:rsid w:val="00673104"/>
    <w:rsid w:val="00673345"/>
    <w:rsid w:val="00674C77"/>
    <w:rsid w:val="00674DC2"/>
    <w:rsid w:val="00676DBE"/>
    <w:rsid w:val="0068044D"/>
    <w:rsid w:val="006809CD"/>
    <w:rsid w:val="0068190E"/>
    <w:rsid w:val="00681C9C"/>
    <w:rsid w:val="00681E4D"/>
    <w:rsid w:val="00681F92"/>
    <w:rsid w:val="0068260E"/>
    <w:rsid w:val="00682C9E"/>
    <w:rsid w:val="00682CC9"/>
    <w:rsid w:val="006832A2"/>
    <w:rsid w:val="0068338F"/>
    <w:rsid w:val="0068460E"/>
    <w:rsid w:val="006851CA"/>
    <w:rsid w:val="00686FFE"/>
    <w:rsid w:val="0068719D"/>
    <w:rsid w:val="00690060"/>
    <w:rsid w:val="00692855"/>
    <w:rsid w:val="006938FA"/>
    <w:rsid w:val="00693A46"/>
    <w:rsid w:val="00693F3E"/>
    <w:rsid w:val="00694431"/>
    <w:rsid w:val="006948BC"/>
    <w:rsid w:val="00695567"/>
    <w:rsid w:val="00695A98"/>
    <w:rsid w:val="00696C7E"/>
    <w:rsid w:val="00697A16"/>
    <w:rsid w:val="006A0B92"/>
    <w:rsid w:val="006A17B2"/>
    <w:rsid w:val="006A19ED"/>
    <w:rsid w:val="006A1E59"/>
    <w:rsid w:val="006A36C6"/>
    <w:rsid w:val="006A37B9"/>
    <w:rsid w:val="006A3B55"/>
    <w:rsid w:val="006A3EBB"/>
    <w:rsid w:val="006A40A6"/>
    <w:rsid w:val="006A43BF"/>
    <w:rsid w:val="006A541F"/>
    <w:rsid w:val="006B0228"/>
    <w:rsid w:val="006B2DA2"/>
    <w:rsid w:val="006B40B3"/>
    <w:rsid w:val="006B5C98"/>
    <w:rsid w:val="006B7629"/>
    <w:rsid w:val="006B7946"/>
    <w:rsid w:val="006B7976"/>
    <w:rsid w:val="006B7CB4"/>
    <w:rsid w:val="006B7F82"/>
    <w:rsid w:val="006C081A"/>
    <w:rsid w:val="006C0F2E"/>
    <w:rsid w:val="006C12CD"/>
    <w:rsid w:val="006C1DB5"/>
    <w:rsid w:val="006C2AFC"/>
    <w:rsid w:val="006C2D23"/>
    <w:rsid w:val="006C3BAC"/>
    <w:rsid w:val="006C482C"/>
    <w:rsid w:val="006C5E1D"/>
    <w:rsid w:val="006C5E51"/>
    <w:rsid w:val="006C696F"/>
    <w:rsid w:val="006C6B7D"/>
    <w:rsid w:val="006C7209"/>
    <w:rsid w:val="006D15AB"/>
    <w:rsid w:val="006D1BBD"/>
    <w:rsid w:val="006D1F3E"/>
    <w:rsid w:val="006D3877"/>
    <w:rsid w:val="006D4879"/>
    <w:rsid w:val="006D502F"/>
    <w:rsid w:val="006D5CC1"/>
    <w:rsid w:val="006D6392"/>
    <w:rsid w:val="006D6A08"/>
    <w:rsid w:val="006D74E9"/>
    <w:rsid w:val="006E0460"/>
    <w:rsid w:val="006E0DAE"/>
    <w:rsid w:val="006E126C"/>
    <w:rsid w:val="006E18CD"/>
    <w:rsid w:val="006E1A2B"/>
    <w:rsid w:val="006E2132"/>
    <w:rsid w:val="006E2FA8"/>
    <w:rsid w:val="006E325A"/>
    <w:rsid w:val="006E37A4"/>
    <w:rsid w:val="006E37D5"/>
    <w:rsid w:val="006E43C4"/>
    <w:rsid w:val="006E4750"/>
    <w:rsid w:val="006E5749"/>
    <w:rsid w:val="006E6392"/>
    <w:rsid w:val="006E7B6B"/>
    <w:rsid w:val="006E7E4C"/>
    <w:rsid w:val="006F4054"/>
    <w:rsid w:val="006F4D97"/>
    <w:rsid w:val="006F5305"/>
    <w:rsid w:val="006F57E8"/>
    <w:rsid w:val="006F5B93"/>
    <w:rsid w:val="006F6341"/>
    <w:rsid w:val="007006CA"/>
    <w:rsid w:val="00702FDB"/>
    <w:rsid w:val="00703E3B"/>
    <w:rsid w:val="00704077"/>
    <w:rsid w:val="0070464D"/>
    <w:rsid w:val="00706767"/>
    <w:rsid w:val="007070FF"/>
    <w:rsid w:val="00710AF6"/>
    <w:rsid w:val="00712053"/>
    <w:rsid w:val="007132A5"/>
    <w:rsid w:val="00714307"/>
    <w:rsid w:val="00714F16"/>
    <w:rsid w:val="00714F87"/>
    <w:rsid w:val="0072021F"/>
    <w:rsid w:val="00720493"/>
    <w:rsid w:val="007206C7"/>
    <w:rsid w:val="007209AC"/>
    <w:rsid w:val="007209F8"/>
    <w:rsid w:val="007211A5"/>
    <w:rsid w:val="007216A5"/>
    <w:rsid w:val="007216B0"/>
    <w:rsid w:val="0072217E"/>
    <w:rsid w:val="00723B16"/>
    <w:rsid w:val="007243F8"/>
    <w:rsid w:val="00724551"/>
    <w:rsid w:val="00724862"/>
    <w:rsid w:val="007256CC"/>
    <w:rsid w:val="00725A76"/>
    <w:rsid w:val="00726872"/>
    <w:rsid w:val="007316C2"/>
    <w:rsid w:val="00731FB7"/>
    <w:rsid w:val="00732D0D"/>
    <w:rsid w:val="007330FF"/>
    <w:rsid w:val="0073341E"/>
    <w:rsid w:val="00734614"/>
    <w:rsid w:val="00736AC8"/>
    <w:rsid w:val="0073720B"/>
    <w:rsid w:val="0074011A"/>
    <w:rsid w:val="00740703"/>
    <w:rsid w:val="00740C5E"/>
    <w:rsid w:val="00741BBB"/>
    <w:rsid w:val="007427E9"/>
    <w:rsid w:val="00744690"/>
    <w:rsid w:val="00746229"/>
    <w:rsid w:val="007505B5"/>
    <w:rsid w:val="00750C9B"/>
    <w:rsid w:val="00750CE0"/>
    <w:rsid w:val="00750E6D"/>
    <w:rsid w:val="00751815"/>
    <w:rsid w:val="007519B3"/>
    <w:rsid w:val="00753001"/>
    <w:rsid w:val="00753B23"/>
    <w:rsid w:val="00754CF8"/>
    <w:rsid w:val="00754DFC"/>
    <w:rsid w:val="007557D3"/>
    <w:rsid w:val="0075581D"/>
    <w:rsid w:val="0075596E"/>
    <w:rsid w:val="007577F7"/>
    <w:rsid w:val="00757C4A"/>
    <w:rsid w:val="007619A8"/>
    <w:rsid w:val="00761A87"/>
    <w:rsid w:val="00761BE9"/>
    <w:rsid w:val="00762EC5"/>
    <w:rsid w:val="00763160"/>
    <w:rsid w:val="007639A7"/>
    <w:rsid w:val="00765F1C"/>
    <w:rsid w:val="007660F7"/>
    <w:rsid w:val="007669F2"/>
    <w:rsid w:val="00766F28"/>
    <w:rsid w:val="00766FFF"/>
    <w:rsid w:val="0076750A"/>
    <w:rsid w:val="00767F4C"/>
    <w:rsid w:val="0077002F"/>
    <w:rsid w:val="007704C9"/>
    <w:rsid w:val="00772B37"/>
    <w:rsid w:val="00773BA8"/>
    <w:rsid w:val="00775315"/>
    <w:rsid w:val="00776925"/>
    <w:rsid w:val="00777260"/>
    <w:rsid w:val="00781744"/>
    <w:rsid w:val="00781FF0"/>
    <w:rsid w:val="00782B15"/>
    <w:rsid w:val="00783718"/>
    <w:rsid w:val="0078393D"/>
    <w:rsid w:val="00784EAB"/>
    <w:rsid w:val="00785A33"/>
    <w:rsid w:val="00785EB7"/>
    <w:rsid w:val="0078686A"/>
    <w:rsid w:val="00787CD4"/>
    <w:rsid w:val="00787E98"/>
    <w:rsid w:val="007906D9"/>
    <w:rsid w:val="00791359"/>
    <w:rsid w:val="00791445"/>
    <w:rsid w:val="00791834"/>
    <w:rsid w:val="0079268E"/>
    <w:rsid w:val="007926D6"/>
    <w:rsid w:val="007930D1"/>
    <w:rsid w:val="0079448B"/>
    <w:rsid w:val="00794A47"/>
    <w:rsid w:val="0079620F"/>
    <w:rsid w:val="007976F0"/>
    <w:rsid w:val="00797BD3"/>
    <w:rsid w:val="007A08B9"/>
    <w:rsid w:val="007A1772"/>
    <w:rsid w:val="007A17AF"/>
    <w:rsid w:val="007A4035"/>
    <w:rsid w:val="007A683E"/>
    <w:rsid w:val="007B0018"/>
    <w:rsid w:val="007B0188"/>
    <w:rsid w:val="007B0B97"/>
    <w:rsid w:val="007B14D6"/>
    <w:rsid w:val="007B2588"/>
    <w:rsid w:val="007B52B7"/>
    <w:rsid w:val="007B5CE1"/>
    <w:rsid w:val="007B7868"/>
    <w:rsid w:val="007C036A"/>
    <w:rsid w:val="007C07F8"/>
    <w:rsid w:val="007C0E2F"/>
    <w:rsid w:val="007C1587"/>
    <w:rsid w:val="007C2273"/>
    <w:rsid w:val="007C2578"/>
    <w:rsid w:val="007C4080"/>
    <w:rsid w:val="007C4317"/>
    <w:rsid w:val="007C4CBE"/>
    <w:rsid w:val="007C5D4D"/>
    <w:rsid w:val="007C60EC"/>
    <w:rsid w:val="007C6987"/>
    <w:rsid w:val="007C7203"/>
    <w:rsid w:val="007D05E4"/>
    <w:rsid w:val="007D0951"/>
    <w:rsid w:val="007D12AA"/>
    <w:rsid w:val="007D1321"/>
    <w:rsid w:val="007D35CB"/>
    <w:rsid w:val="007D3E5E"/>
    <w:rsid w:val="007D469C"/>
    <w:rsid w:val="007D6950"/>
    <w:rsid w:val="007E27F9"/>
    <w:rsid w:val="007E2E10"/>
    <w:rsid w:val="007E32A6"/>
    <w:rsid w:val="007E4132"/>
    <w:rsid w:val="007E4184"/>
    <w:rsid w:val="007E565E"/>
    <w:rsid w:val="007E596F"/>
    <w:rsid w:val="007E601E"/>
    <w:rsid w:val="007E6126"/>
    <w:rsid w:val="007E6D98"/>
    <w:rsid w:val="007E6DF2"/>
    <w:rsid w:val="007F0BE6"/>
    <w:rsid w:val="007F2987"/>
    <w:rsid w:val="007F2BCE"/>
    <w:rsid w:val="007F4655"/>
    <w:rsid w:val="007F6A2E"/>
    <w:rsid w:val="007F6CAE"/>
    <w:rsid w:val="007F709C"/>
    <w:rsid w:val="00800D58"/>
    <w:rsid w:val="00802090"/>
    <w:rsid w:val="00802BE0"/>
    <w:rsid w:val="008066B7"/>
    <w:rsid w:val="008067F8"/>
    <w:rsid w:val="00806BF1"/>
    <w:rsid w:val="008108E4"/>
    <w:rsid w:val="00810D4D"/>
    <w:rsid w:val="008115E0"/>
    <w:rsid w:val="00813BA2"/>
    <w:rsid w:val="008149C3"/>
    <w:rsid w:val="008149C6"/>
    <w:rsid w:val="00815461"/>
    <w:rsid w:val="00815630"/>
    <w:rsid w:val="00817E2F"/>
    <w:rsid w:val="00817EBB"/>
    <w:rsid w:val="00820B82"/>
    <w:rsid w:val="00821048"/>
    <w:rsid w:val="0082140D"/>
    <w:rsid w:val="00822551"/>
    <w:rsid w:val="00824816"/>
    <w:rsid w:val="0082540C"/>
    <w:rsid w:val="00825AF7"/>
    <w:rsid w:val="008277F3"/>
    <w:rsid w:val="00827D81"/>
    <w:rsid w:val="00830945"/>
    <w:rsid w:val="00833040"/>
    <w:rsid w:val="0083312D"/>
    <w:rsid w:val="00833175"/>
    <w:rsid w:val="00834BCF"/>
    <w:rsid w:val="00834F0F"/>
    <w:rsid w:val="0083548A"/>
    <w:rsid w:val="008363D1"/>
    <w:rsid w:val="00837DE2"/>
    <w:rsid w:val="00841652"/>
    <w:rsid w:val="0084263C"/>
    <w:rsid w:val="008431BF"/>
    <w:rsid w:val="00843635"/>
    <w:rsid w:val="00844AA3"/>
    <w:rsid w:val="00845ECB"/>
    <w:rsid w:val="008465E9"/>
    <w:rsid w:val="0084673A"/>
    <w:rsid w:val="00850B5A"/>
    <w:rsid w:val="00851B87"/>
    <w:rsid w:val="00852104"/>
    <w:rsid w:val="0085368D"/>
    <w:rsid w:val="00853FE6"/>
    <w:rsid w:val="008548BE"/>
    <w:rsid w:val="00854F93"/>
    <w:rsid w:val="0085536F"/>
    <w:rsid w:val="00855757"/>
    <w:rsid w:val="00855CE3"/>
    <w:rsid w:val="00855DEB"/>
    <w:rsid w:val="0085684D"/>
    <w:rsid w:val="00856CF3"/>
    <w:rsid w:val="00856FDC"/>
    <w:rsid w:val="0086174D"/>
    <w:rsid w:val="00861DFA"/>
    <w:rsid w:val="00862451"/>
    <w:rsid w:val="00865DF5"/>
    <w:rsid w:val="00865E78"/>
    <w:rsid w:val="00866BE2"/>
    <w:rsid w:val="00866CB6"/>
    <w:rsid w:val="00867077"/>
    <w:rsid w:val="008675EF"/>
    <w:rsid w:val="00867971"/>
    <w:rsid w:val="00870CF8"/>
    <w:rsid w:val="00870D32"/>
    <w:rsid w:val="008710A6"/>
    <w:rsid w:val="0087218F"/>
    <w:rsid w:val="00872401"/>
    <w:rsid w:val="00872B23"/>
    <w:rsid w:val="00875398"/>
    <w:rsid w:val="00875DFE"/>
    <w:rsid w:val="00876068"/>
    <w:rsid w:val="00876356"/>
    <w:rsid w:val="00876703"/>
    <w:rsid w:val="00877C98"/>
    <w:rsid w:val="00882D89"/>
    <w:rsid w:val="008838E1"/>
    <w:rsid w:val="00883F9C"/>
    <w:rsid w:val="00883FD1"/>
    <w:rsid w:val="0088408F"/>
    <w:rsid w:val="00884351"/>
    <w:rsid w:val="00884F38"/>
    <w:rsid w:val="00885458"/>
    <w:rsid w:val="00885675"/>
    <w:rsid w:val="0088630B"/>
    <w:rsid w:val="00886E63"/>
    <w:rsid w:val="008870DB"/>
    <w:rsid w:val="00887521"/>
    <w:rsid w:val="008876A2"/>
    <w:rsid w:val="008900E4"/>
    <w:rsid w:val="008926E4"/>
    <w:rsid w:val="0089364F"/>
    <w:rsid w:val="0089416B"/>
    <w:rsid w:val="0089544E"/>
    <w:rsid w:val="00895B72"/>
    <w:rsid w:val="008969DC"/>
    <w:rsid w:val="008975C9"/>
    <w:rsid w:val="008A02A5"/>
    <w:rsid w:val="008A137F"/>
    <w:rsid w:val="008A2102"/>
    <w:rsid w:val="008A2DFD"/>
    <w:rsid w:val="008A3ADE"/>
    <w:rsid w:val="008A6E22"/>
    <w:rsid w:val="008A75C5"/>
    <w:rsid w:val="008A7BCD"/>
    <w:rsid w:val="008B05C4"/>
    <w:rsid w:val="008B0874"/>
    <w:rsid w:val="008B129D"/>
    <w:rsid w:val="008B1FC5"/>
    <w:rsid w:val="008B38CE"/>
    <w:rsid w:val="008B3E64"/>
    <w:rsid w:val="008B40A0"/>
    <w:rsid w:val="008B4162"/>
    <w:rsid w:val="008B42C1"/>
    <w:rsid w:val="008B4699"/>
    <w:rsid w:val="008B4752"/>
    <w:rsid w:val="008B4886"/>
    <w:rsid w:val="008B509F"/>
    <w:rsid w:val="008B63DD"/>
    <w:rsid w:val="008B66B0"/>
    <w:rsid w:val="008B76BE"/>
    <w:rsid w:val="008C10BF"/>
    <w:rsid w:val="008C1F9D"/>
    <w:rsid w:val="008C2109"/>
    <w:rsid w:val="008C2E06"/>
    <w:rsid w:val="008C309C"/>
    <w:rsid w:val="008C3C1E"/>
    <w:rsid w:val="008C3DEF"/>
    <w:rsid w:val="008C3FF2"/>
    <w:rsid w:val="008C5866"/>
    <w:rsid w:val="008C631E"/>
    <w:rsid w:val="008D0242"/>
    <w:rsid w:val="008D0A7A"/>
    <w:rsid w:val="008D0FE3"/>
    <w:rsid w:val="008D1C20"/>
    <w:rsid w:val="008D1D67"/>
    <w:rsid w:val="008D3F60"/>
    <w:rsid w:val="008D3F92"/>
    <w:rsid w:val="008D4756"/>
    <w:rsid w:val="008D5B5A"/>
    <w:rsid w:val="008D6887"/>
    <w:rsid w:val="008D6FD3"/>
    <w:rsid w:val="008D7024"/>
    <w:rsid w:val="008D78B1"/>
    <w:rsid w:val="008E01C4"/>
    <w:rsid w:val="008E02C1"/>
    <w:rsid w:val="008E0C4A"/>
    <w:rsid w:val="008E12A5"/>
    <w:rsid w:val="008E1C19"/>
    <w:rsid w:val="008E27F1"/>
    <w:rsid w:val="008E3B36"/>
    <w:rsid w:val="008E3DB5"/>
    <w:rsid w:val="008E51C9"/>
    <w:rsid w:val="008E6DCC"/>
    <w:rsid w:val="008E6E6B"/>
    <w:rsid w:val="008E7D49"/>
    <w:rsid w:val="008F0124"/>
    <w:rsid w:val="008F179A"/>
    <w:rsid w:val="008F1DF4"/>
    <w:rsid w:val="008F1F26"/>
    <w:rsid w:val="008F235B"/>
    <w:rsid w:val="008F24EF"/>
    <w:rsid w:val="008F2E81"/>
    <w:rsid w:val="008F3A1B"/>
    <w:rsid w:val="008F4E74"/>
    <w:rsid w:val="008F6469"/>
    <w:rsid w:val="008F6C6B"/>
    <w:rsid w:val="008F7074"/>
    <w:rsid w:val="008F7548"/>
    <w:rsid w:val="008F7772"/>
    <w:rsid w:val="00901E80"/>
    <w:rsid w:val="00902329"/>
    <w:rsid w:val="00902562"/>
    <w:rsid w:val="00903A9D"/>
    <w:rsid w:val="00910339"/>
    <w:rsid w:val="00911090"/>
    <w:rsid w:val="00911522"/>
    <w:rsid w:val="0091173D"/>
    <w:rsid w:val="00911A69"/>
    <w:rsid w:val="00911DE3"/>
    <w:rsid w:val="009125B5"/>
    <w:rsid w:val="00912810"/>
    <w:rsid w:val="00912B6B"/>
    <w:rsid w:val="009137F5"/>
    <w:rsid w:val="00913D0E"/>
    <w:rsid w:val="0091486A"/>
    <w:rsid w:val="00915F26"/>
    <w:rsid w:val="0091626B"/>
    <w:rsid w:val="009164DC"/>
    <w:rsid w:val="0091657B"/>
    <w:rsid w:val="0091770E"/>
    <w:rsid w:val="009207CC"/>
    <w:rsid w:val="0092096A"/>
    <w:rsid w:val="009210FC"/>
    <w:rsid w:val="00921705"/>
    <w:rsid w:val="009221F5"/>
    <w:rsid w:val="00922B62"/>
    <w:rsid w:val="00922FA5"/>
    <w:rsid w:val="009233AB"/>
    <w:rsid w:val="00923D74"/>
    <w:rsid w:val="009240B7"/>
    <w:rsid w:val="0092533C"/>
    <w:rsid w:val="0092563C"/>
    <w:rsid w:val="00925D34"/>
    <w:rsid w:val="009264B2"/>
    <w:rsid w:val="009277D5"/>
    <w:rsid w:val="00927C49"/>
    <w:rsid w:val="00927FCC"/>
    <w:rsid w:val="00930E97"/>
    <w:rsid w:val="009323F7"/>
    <w:rsid w:val="0093305C"/>
    <w:rsid w:val="009342A7"/>
    <w:rsid w:val="009344DD"/>
    <w:rsid w:val="00934E89"/>
    <w:rsid w:val="00934FEE"/>
    <w:rsid w:val="009354F3"/>
    <w:rsid w:val="0093558A"/>
    <w:rsid w:val="00935A93"/>
    <w:rsid w:val="00935E7C"/>
    <w:rsid w:val="0093671F"/>
    <w:rsid w:val="00936E87"/>
    <w:rsid w:val="00937330"/>
    <w:rsid w:val="0094055B"/>
    <w:rsid w:val="00941C7D"/>
    <w:rsid w:val="009422F3"/>
    <w:rsid w:val="009423B9"/>
    <w:rsid w:val="009434E4"/>
    <w:rsid w:val="00943768"/>
    <w:rsid w:val="00943BA6"/>
    <w:rsid w:val="009447F7"/>
    <w:rsid w:val="00944983"/>
    <w:rsid w:val="00944F27"/>
    <w:rsid w:val="00945916"/>
    <w:rsid w:val="00945F3A"/>
    <w:rsid w:val="00947060"/>
    <w:rsid w:val="009470D6"/>
    <w:rsid w:val="00947B18"/>
    <w:rsid w:val="00950086"/>
    <w:rsid w:val="0095019C"/>
    <w:rsid w:val="009516B9"/>
    <w:rsid w:val="00951983"/>
    <w:rsid w:val="00952571"/>
    <w:rsid w:val="0095314E"/>
    <w:rsid w:val="0095328F"/>
    <w:rsid w:val="00953963"/>
    <w:rsid w:val="00953DE5"/>
    <w:rsid w:val="00955B61"/>
    <w:rsid w:val="00956883"/>
    <w:rsid w:val="009607B9"/>
    <w:rsid w:val="009618D4"/>
    <w:rsid w:val="00961A59"/>
    <w:rsid w:val="00962E09"/>
    <w:rsid w:val="0096339D"/>
    <w:rsid w:val="00963B2F"/>
    <w:rsid w:val="00963D49"/>
    <w:rsid w:val="00964DB8"/>
    <w:rsid w:val="0096593A"/>
    <w:rsid w:val="009668D9"/>
    <w:rsid w:val="00966C9E"/>
    <w:rsid w:val="009705F8"/>
    <w:rsid w:val="00971A78"/>
    <w:rsid w:val="00972615"/>
    <w:rsid w:val="009726EF"/>
    <w:rsid w:val="00973BF6"/>
    <w:rsid w:val="00973CEB"/>
    <w:rsid w:val="00973D5B"/>
    <w:rsid w:val="0097712C"/>
    <w:rsid w:val="0097792A"/>
    <w:rsid w:val="00980F8B"/>
    <w:rsid w:val="00981031"/>
    <w:rsid w:val="009816F1"/>
    <w:rsid w:val="00983816"/>
    <w:rsid w:val="00985FF8"/>
    <w:rsid w:val="00986655"/>
    <w:rsid w:val="00986880"/>
    <w:rsid w:val="009868B3"/>
    <w:rsid w:val="009873EA"/>
    <w:rsid w:val="00987C9E"/>
    <w:rsid w:val="009902E3"/>
    <w:rsid w:val="00990D9B"/>
    <w:rsid w:val="00991219"/>
    <w:rsid w:val="009916E0"/>
    <w:rsid w:val="0099195A"/>
    <w:rsid w:val="00991AD6"/>
    <w:rsid w:val="00992079"/>
    <w:rsid w:val="0099217D"/>
    <w:rsid w:val="00993A4E"/>
    <w:rsid w:val="00993BAC"/>
    <w:rsid w:val="00994474"/>
    <w:rsid w:val="00995096"/>
    <w:rsid w:val="009955D2"/>
    <w:rsid w:val="00996329"/>
    <w:rsid w:val="009970CD"/>
    <w:rsid w:val="009A20CD"/>
    <w:rsid w:val="009A2EA7"/>
    <w:rsid w:val="009A4499"/>
    <w:rsid w:val="009A5642"/>
    <w:rsid w:val="009A5B02"/>
    <w:rsid w:val="009A6304"/>
    <w:rsid w:val="009B052E"/>
    <w:rsid w:val="009B0D1E"/>
    <w:rsid w:val="009B14CA"/>
    <w:rsid w:val="009B2204"/>
    <w:rsid w:val="009B251A"/>
    <w:rsid w:val="009B286E"/>
    <w:rsid w:val="009B3598"/>
    <w:rsid w:val="009B442E"/>
    <w:rsid w:val="009B49D4"/>
    <w:rsid w:val="009B6067"/>
    <w:rsid w:val="009B7DEC"/>
    <w:rsid w:val="009C1198"/>
    <w:rsid w:val="009C2463"/>
    <w:rsid w:val="009C26F9"/>
    <w:rsid w:val="009C3AB8"/>
    <w:rsid w:val="009C407E"/>
    <w:rsid w:val="009C409B"/>
    <w:rsid w:val="009C50BD"/>
    <w:rsid w:val="009C52B1"/>
    <w:rsid w:val="009C679C"/>
    <w:rsid w:val="009D0CF9"/>
    <w:rsid w:val="009D1379"/>
    <w:rsid w:val="009D2F12"/>
    <w:rsid w:val="009D3023"/>
    <w:rsid w:val="009D5779"/>
    <w:rsid w:val="009D5C36"/>
    <w:rsid w:val="009D6703"/>
    <w:rsid w:val="009D70A1"/>
    <w:rsid w:val="009E05AA"/>
    <w:rsid w:val="009E30C3"/>
    <w:rsid w:val="009E6953"/>
    <w:rsid w:val="009E714A"/>
    <w:rsid w:val="009F1C26"/>
    <w:rsid w:val="009F1C2F"/>
    <w:rsid w:val="009F2345"/>
    <w:rsid w:val="009F49CB"/>
    <w:rsid w:val="009F4D6D"/>
    <w:rsid w:val="009F53EE"/>
    <w:rsid w:val="009F6007"/>
    <w:rsid w:val="00A00BF1"/>
    <w:rsid w:val="00A00FEE"/>
    <w:rsid w:val="00A01073"/>
    <w:rsid w:val="00A0133E"/>
    <w:rsid w:val="00A01382"/>
    <w:rsid w:val="00A01772"/>
    <w:rsid w:val="00A03DA0"/>
    <w:rsid w:val="00A05448"/>
    <w:rsid w:val="00A06974"/>
    <w:rsid w:val="00A06C45"/>
    <w:rsid w:val="00A06C51"/>
    <w:rsid w:val="00A10E97"/>
    <w:rsid w:val="00A1107A"/>
    <w:rsid w:val="00A119A6"/>
    <w:rsid w:val="00A11B31"/>
    <w:rsid w:val="00A11EC3"/>
    <w:rsid w:val="00A1258A"/>
    <w:rsid w:val="00A12C9B"/>
    <w:rsid w:val="00A12CBB"/>
    <w:rsid w:val="00A13100"/>
    <w:rsid w:val="00A1375E"/>
    <w:rsid w:val="00A14CFB"/>
    <w:rsid w:val="00A15425"/>
    <w:rsid w:val="00A16415"/>
    <w:rsid w:val="00A16541"/>
    <w:rsid w:val="00A171C9"/>
    <w:rsid w:val="00A1796E"/>
    <w:rsid w:val="00A20355"/>
    <w:rsid w:val="00A2097A"/>
    <w:rsid w:val="00A21635"/>
    <w:rsid w:val="00A21FF0"/>
    <w:rsid w:val="00A26E4F"/>
    <w:rsid w:val="00A30CC0"/>
    <w:rsid w:val="00A335E6"/>
    <w:rsid w:val="00A33BA4"/>
    <w:rsid w:val="00A346E6"/>
    <w:rsid w:val="00A34FEE"/>
    <w:rsid w:val="00A37292"/>
    <w:rsid w:val="00A3748B"/>
    <w:rsid w:val="00A40249"/>
    <w:rsid w:val="00A403C1"/>
    <w:rsid w:val="00A423CC"/>
    <w:rsid w:val="00A423FC"/>
    <w:rsid w:val="00A42CC8"/>
    <w:rsid w:val="00A4306F"/>
    <w:rsid w:val="00A43AEA"/>
    <w:rsid w:val="00A45E3C"/>
    <w:rsid w:val="00A46765"/>
    <w:rsid w:val="00A4699A"/>
    <w:rsid w:val="00A4741C"/>
    <w:rsid w:val="00A5015B"/>
    <w:rsid w:val="00A50FEA"/>
    <w:rsid w:val="00A51DCF"/>
    <w:rsid w:val="00A53EB4"/>
    <w:rsid w:val="00A54022"/>
    <w:rsid w:val="00A5405C"/>
    <w:rsid w:val="00A56732"/>
    <w:rsid w:val="00A56AB5"/>
    <w:rsid w:val="00A57D1A"/>
    <w:rsid w:val="00A60AF1"/>
    <w:rsid w:val="00A60B2B"/>
    <w:rsid w:val="00A60ED6"/>
    <w:rsid w:val="00A6106D"/>
    <w:rsid w:val="00A61D50"/>
    <w:rsid w:val="00A62709"/>
    <w:rsid w:val="00A62773"/>
    <w:rsid w:val="00A62818"/>
    <w:rsid w:val="00A62A6C"/>
    <w:rsid w:val="00A62C7B"/>
    <w:rsid w:val="00A633C8"/>
    <w:rsid w:val="00A63400"/>
    <w:rsid w:val="00A636D3"/>
    <w:rsid w:val="00A63BDB"/>
    <w:rsid w:val="00A63FCB"/>
    <w:rsid w:val="00A64280"/>
    <w:rsid w:val="00A65789"/>
    <w:rsid w:val="00A65B0D"/>
    <w:rsid w:val="00A6605C"/>
    <w:rsid w:val="00A668C7"/>
    <w:rsid w:val="00A673CC"/>
    <w:rsid w:val="00A70FF5"/>
    <w:rsid w:val="00A710A4"/>
    <w:rsid w:val="00A7118A"/>
    <w:rsid w:val="00A71519"/>
    <w:rsid w:val="00A71641"/>
    <w:rsid w:val="00A7180D"/>
    <w:rsid w:val="00A740D8"/>
    <w:rsid w:val="00A745B0"/>
    <w:rsid w:val="00A76F95"/>
    <w:rsid w:val="00A8063B"/>
    <w:rsid w:val="00A8267A"/>
    <w:rsid w:val="00A826E6"/>
    <w:rsid w:val="00A82C11"/>
    <w:rsid w:val="00A8361C"/>
    <w:rsid w:val="00A83D79"/>
    <w:rsid w:val="00A8420E"/>
    <w:rsid w:val="00A84C5C"/>
    <w:rsid w:val="00A87B97"/>
    <w:rsid w:val="00A901F4"/>
    <w:rsid w:val="00A90EDC"/>
    <w:rsid w:val="00A923B4"/>
    <w:rsid w:val="00A92A8D"/>
    <w:rsid w:val="00A9352A"/>
    <w:rsid w:val="00A93FB7"/>
    <w:rsid w:val="00A944C5"/>
    <w:rsid w:val="00A94EDE"/>
    <w:rsid w:val="00A957C7"/>
    <w:rsid w:val="00A95C60"/>
    <w:rsid w:val="00A963AA"/>
    <w:rsid w:val="00A963D3"/>
    <w:rsid w:val="00A97CCE"/>
    <w:rsid w:val="00AA3420"/>
    <w:rsid w:val="00AA38DB"/>
    <w:rsid w:val="00AA398E"/>
    <w:rsid w:val="00AA4C89"/>
    <w:rsid w:val="00AA4D40"/>
    <w:rsid w:val="00AA5229"/>
    <w:rsid w:val="00AA6113"/>
    <w:rsid w:val="00AA6BBC"/>
    <w:rsid w:val="00AA778C"/>
    <w:rsid w:val="00AB0D85"/>
    <w:rsid w:val="00AB1E92"/>
    <w:rsid w:val="00AB2B5B"/>
    <w:rsid w:val="00AB4CBB"/>
    <w:rsid w:val="00AB5045"/>
    <w:rsid w:val="00AB5A6A"/>
    <w:rsid w:val="00AB7B53"/>
    <w:rsid w:val="00AC04ED"/>
    <w:rsid w:val="00AC08BE"/>
    <w:rsid w:val="00AC2639"/>
    <w:rsid w:val="00AC2E21"/>
    <w:rsid w:val="00AC2E56"/>
    <w:rsid w:val="00AC2F16"/>
    <w:rsid w:val="00AC47F1"/>
    <w:rsid w:val="00AC4A1F"/>
    <w:rsid w:val="00AC5087"/>
    <w:rsid w:val="00AC68CC"/>
    <w:rsid w:val="00AC7D86"/>
    <w:rsid w:val="00AD1D79"/>
    <w:rsid w:val="00AD24F2"/>
    <w:rsid w:val="00AD270D"/>
    <w:rsid w:val="00AD2D68"/>
    <w:rsid w:val="00AD3475"/>
    <w:rsid w:val="00AD41DC"/>
    <w:rsid w:val="00AD4519"/>
    <w:rsid w:val="00AD4C15"/>
    <w:rsid w:val="00AD5D40"/>
    <w:rsid w:val="00AD6ABF"/>
    <w:rsid w:val="00AD6EAD"/>
    <w:rsid w:val="00AD7213"/>
    <w:rsid w:val="00AE10B0"/>
    <w:rsid w:val="00AE2277"/>
    <w:rsid w:val="00AE2418"/>
    <w:rsid w:val="00AE29D1"/>
    <w:rsid w:val="00AE2D00"/>
    <w:rsid w:val="00AE2F49"/>
    <w:rsid w:val="00AE4906"/>
    <w:rsid w:val="00AE596B"/>
    <w:rsid w:val="00AE5F7D"/>
    <w:rsid w:val="00AE6968"/>
    <w:rsid w:val="00AF254F"/>
    <w:rsid w:val="00AF32CD"/>
    <w:rsid w:val="00AF48DD"/>
    <w:rsid w:val="00AF7AC7"/>
    <w:rsid w:val="00B00338"/>
    <w:rsid w:val="00B003D3"/>
    <w:rsid w:val="00B0384D"/>
    <w:rsid w:val="00B03A7A"/>
    <w:rsid w:val="00B0422D"/>
    <w:rsid w:val="00B04C9F"/>
    <w:rsid w:val="00B0585E"/>
    <w:rsid w:val="00B0608C"/>
    <w:rsid w:val="00B069C5"/>
    <w:rsid w:val="00B100DB"/>
    <w:rsid w:val="00B10531"/>
    <w:rsid w:val="00B10A8A"/>
    <w:rsid w:val="00B10ECB"/>
    <w:rsid w:val="00B11508"/>
    <w:rsid w:val="00B12A87"/>
    <w:rsid w:val="00B12EF2"/>
    <w:rsid w:val="00B13773"/>
    <w:rsid w:val="00B13AF3"/>
    <w:rsid w:val="00B16954"/>
    <w:rsid w:val="00B1768E"/>
    <w:rsid w:val="00B17B4C"/>
    <w:rsid w:val="00B17CF6"/>
    <w:rsid w:val="00B17D00"/>
    <w:rsid w:val="00B20535"/>
    <w:rsid w:val="00B21E65"/>
    <w:rsid w:val="00B21F39"/>
    <w:rsid w:val="00B23198"/>
    <w:rsid w:val="00B23267"/>
    <w:rsid w:val="00B24177"/>
    <w:rsid w:val="00B2443B"/>
    <w:rsid w:val="00B24F37"/>
    <w:rsid w:val="00B252F7"/>
    <w:rsid w:val="00B26CAE"/>
    <w:rsid w:val="00B31DE2"/>
    <w:rsid w:val="00B32359"/>
    <w:rsid w:val="00B323D9"/>
    <w:rsid w:val="00B3284E"/>
    <w:rsid w:val="00B32D8A"/>
    <w:rsid w:val="00B32F5D"/>
    <w:rsid w:val="00B33554"/>
    <w:rsid w:val="00B33A1B"/>
    <w:rsid w:val="00B33AD7"/>
    <w:rsid w:val="00B34615"/>
    <w:rsid w:val="00B352A5"/>
    <w:rsid w:val="00B37028"/>
    <w:rsid w:val="00B4010A"/>
    <w:rsid w:val="00B402C3"/>
    <w:rsid w:val="00B40634"/>
    <w:rsid w:val="00B40D3E"/>
    <w:rsid w:val="00B4175C"/>
    <w:rsid w:val="00B42F39"/>
    <w:rsid w:val="00B43424"/>
    <w:rsid w:val="00B4497B"/>
    <w:rsid w:val="00B44CA0"/>
    <w:rsid w:val="00B453A5"/>
    <w:rsid w:val="00B45441"/>
    <w:rsid w:val="00B47127"/>
    <w:rsid w:val="00B47C08"/>
    <w:rsid w:val="00B51B05"/>
    <w:rsid w:val="00B52140"/>
    <w:rsid w:val="00B53847"/>
    <w:rsid w:val="00B5391D"/>
    <w:rsid w:val="00B54008"/>
    <w:rsid w:val="00B5499E"/>
    <w:rsid w:val="00B54D1E"/>
    <w:rsid w:val="00B55F25"/>
    <w:rsid w:val="00B57C51"/>
    <w:rsid w:val="00B60711"/>
    <w:rsid w:val="00B60BF6"/>
    <w:rsid w:val="00B60F04"/>
    <w:rsid w:val="00B612F5"/>
    <w:rsid w:val="00B61890"/>
    <w:rsid w:val="00B62A31"/>
    <w:rsid w:val="00B64934"/>
    <w:rsid w:val="00B65F5C"/>
    <w:rsid w:val="00B663C7"/>
    <w:rsid w:val="00B70E79"/>
    <w:rsid w:val="00B72B5B"/>
    <w:rsid w:val="00B738E7"/>
    <w:rsid w:val="00B754C1"/>
    <w:rsid w:val="00B7602F"/>
    <w:rsid w:val="00B76B77"/>
    <w:rsid w:val="00B76B8D"/>
    <w:rsid w:val="00B77D90"/>
    <w:rsid w:val="00B77FBE"/>
    <w:rsid w:val="00B8030B"/>
    <w:rsid w:val="00B81FC8"/>
    <w:rsid w:val="00B835C0"/>
    <w:rsid w:val="00B845BF"/>
    <w:rsid w:val="00B8487D"/>
    <w:rsid w:val="00B84981"/>
    <w:rsid w:val="00B85932"/>
    <w:rsid w:val="00B902EB"/>
    <w:rsid w:val="00B90689"/>
    <w:rsid w:val="00B9112F"/>
    <w:rsid w:val="00B91F69"/>
    <w:rsid w:val="00B9335D"/>
    <w:rsid w:val="00B94467"/>
    <w:rsid w:val="00B95846"/>
    <w:rsid w:val="00B9695C"/>
    <w:rsid w:val="00B97A85"/>
    <w:rsid w:val="00BA0C13"/>
    <w:rsid w:val="00BA0DB7"/>
    <w:rsid w:val="00BA28D5"/>
    <w:rsid w:val="00BA3619"/>
    <w:rsid w:val="00BA6B24"/>
    <w:rsid w:val="00BA7540"/>
    <w:rsid w:val="00BB1085"/>
    <w:rsid w:val="00BB1D31"/>
    <w:rsid w:val="00BB2A03"/>
    <w:rsid w:val="00BB2E22"/>
    <w:rsid w:val="00BB30A1"/>
    <w:rsid w:val="00BB3524"/>
    <w:rsid w:val="00BB4D84"/>
    <w:rsid w:val="00BB5987"/>
    <w:rsid w:val="00BB5A1F"/>
    <w:rsid w:val="00BB7141"/>
    <w:rsid w:val="00BB7E7B"/>
    <w:rsid w:val="00BC01B7"/>
    <w:rsid w:val="00BC067A"/>
    <w:rsid w:val="00BC06F1"/>
    <w:rsid w:val="00BC0968"/>
    <w:rsid w:val="00BC55A2"/>
    <w:rsid w:val="00BC5BC3"/>
    <w:rsid w:val="00BC60A8"/>
    <w:rsid w:val="00BC6433"/>
    <w:rsid w:val="00BC64C4"/>
    <w:rsid w:val="00BC67D6"/>
    <w:rsid w:val="00BD0A1A"/>
    <w:rsid w:val="00BD1446"/>
    <w:rsid w:val="00BD1CB1"/>
    <w:rsid w:val="00BD1FCD"/>
    <w:rsid w:val="00BD3512"/>
    <w:rsid w:val="00BD35D7"/>
    <w:rsid w:val="00BD4156"/>
    <w:rsid w:val="00BD4D42"/>
    <w:rsid w:val="00BD4FEF"/>
    <w:rsid w:val="00BD7102"/>
    <w:rsid w:val="00BD72C6"/>
    <w:rsid w:val="00BE03DA"/>
    <w:rsid w:val="00BE1C4D"/>
    <w:rsid w:val="00BE29F9"/>
    <w:rsid w:val="00BE2C1C"/>
    <w:rsid w:val="00BE2FFB"/>
    <w:rsid w:val="00BE3541"/>
    <w:rsid w:val="00BE393F"/>
    <w:rsid w:val="00BE4677"/>
    <w:rsid w:val="00BE53E1"/>
    <w:rsid w:val="00BE6576"/>
    <w:rsid w:val="00BE7403"/>
    <w:rsid w:val="00BE7899"/>
    <w:rsid w:val="00BF0965"/>
    <w:rsid w:val="00BF216A"/>
    <w:rsid w:val="00BF2C23"/>
    <w:rsid w:val="00BF361A"/>
    <w:rsid w:val="00BF3AC2"/>
    <w:rsid w:val="00BF3F7C"/>
    <w:rsid w:val="00BF4884"/>
    <w:rsid w:val="00BF6276"/>
    <w:rsid w:val="00BF6771"/>
    <w:rsid w:val="00BF71B7"/>
    <w:rsid w:val="00BF7336"/>
    <w:rsid w:val="00C00192"/>
    <w:rsid w:val="00C01F92"/>
    <w:rsid w:val="00C0286D"/>
    <w:rsid w:val="00C03207"/>
    <w:rsid w:val="00C03B94"/>
    <w:rsid w:val="00C05673"/>
    <w:rsid w:val="00C062A2"/>
    <w:rsid w:val="00C066D7"/>
    <w:rsid w:val="00C07356"/>
    <w:rsid w:val="00C076C6"/>
    <w:rsid w:val="00C0786B"/>
    <w:rsid w:val="00C12292"/>
    <w:rsid w:val="00C131BE"/>
    <w:rsid w:val="00C13425"/>
    <w:rsid w:val="00C16290"/>
    <w:rsid w:val="00C2043F"/>
    <w:rsid w:val="00C212B2"/>
    <w:rsid w:val="00C21439"/>
    <w:rsid w:val="00C218C7"/>
    <w:rsid w:val="00C21C75"/>
    <w:rsid w:val="00C21D53"/>
    <w:rsid w:val="00C22234"/>
    <w:rsid w:val="00C249E9"/>
    <w:rsid w:val="00C2563E"/>
    <w:rsid w:val="00C2684D"/>
    <w:rsid w:val="00C26F82"/>
    <w:rsid w:val="00C30139"/>
    <w:rsid w:val="00C305F6"/>
    <w:rsid w:val="00C30DF9"/>
    <w:rsid w:val="00C34BE8"/>
    <w:rsid w:val="00C35A05"/>
    <w:rsid w:val="00C4081A"/>
    <w:rsid w:val="00C40AD8"/>
    <w:rsid w:val="00C410B8"/>
    <w:rsid w:val="00C42232"/>
    <w:rsid w:val="00C42653"/>
    <w:rsid w:val="00C437D0"/>
    <w:rsid w:val="00C43B45"/>
    <w:rsid w:val="00C43DCE"/>
    <w:rsid w:val="00C44B5B"/>
    <w:rsid w:val="00C45169"/>
    <w:rsid w:val="00C4538E"/>
    <w:rsid w:val="00C47612"/>
    <w:rsid w:val="00C50011"/>
    <w:rsid w:val="00C505A0"/>
    <w:rsid w:val="00C50A7A"/>
    <w:rsid w:val="00C50C59"/>
    <w:rsid w:val="00C5104D"/>
    <w:rsid w:val="00C5138E"/>
    <w:rsid w:val="00C51759"/>
    <w:rsid w:val="00C52011"/>
    <w:rsid w:val="00C52D92"/>
    <w:rsid w:val="00C52DC0"/>
    <w:rsid w:val="00C5423E"/>
    <w:rsid w:val="00C5631F"/>
    <w:rsid w:val="00C5668A"/>
    <w:rsid w:val="00C571A8"/>
    <w:rsid w:val="00C57899"/>
    <w:rsid w:val="00C605CC"/>
    <w:rsid w:val="00C60C48"/>
    <w:rsid w:val="00C61803"/>
    <w:rsid w:val="00C6250E"/>
    <w:rsid w:val="00C64664"/>
    <w:rsid w:val="00C65BBA"/>
    <w:rsid w:val="00C666C4"/>
    <w:rsid w:val="00C6718A"/>
    <w:rsid w:val="00C70733"/>
    <w:rsid w:val="00C71478"/>
    <w:rsid w:val="00C71B64"/>
    <w:rsid w:val="00C72E69"/>
    <w:rsid w:val="00C7356B"/>
    <w:rsid w:val="00C746E4"/>
    <w:rsid w:val="00C74E2F"/>
    <w:rsid w:val="00C74F9E"/>
    <w:rsid w:val="00C7569D"/>
    <w:rsid w:val="00C758EF"/>
    <w:rsid w:val="00C76837"/>
    <w:rsid w:val="00C76BEA"/>
    <w:rsid w:val="00C7712C"/>
    <w:rsid w:val="00C8199B"/>
    <w:rsid w:val="00C81E2F"/>
    <w:rsid w:val="00C84580"/>
    <w:rsid w:val="00C8471F"/>
    <w:rsid w:val="00C84EA0"/>
    <w:rsid w:val="00C8546F"/>
    <w:rsid w:val="00C863AE"/>
    <w:rsid w:val="00C87C6A"/>
    <w:rsid w:val="00C87D2F"/>
    <w:rsid w:val="00C905DE"/>
    <w:rsid w:val="00C90757"/>
    <w:rsid w:val="00C90957"/>
    <w:rsid w:val="00C90FB5"/>
    <w:rsid w:val="00C91079"/>
    <w:rsid w:val="00C92DEE"/>
    <w:rsid w:val="00C95768"/>
    <w:rsid w:val="00C9758E"/>
    <w:rsid w:val="00CA0D76"/>
    <w:rsid w:val="00CA10AB"/>
    <w:rsid w:val="00CA387F"/>
    <w:rsid w:val="00CA3B9F"/>
    <w:rsid w:val="00CA4177"/>
    <w:rsid w:val="00CA432C"/>
    <w:rsid w:val="00CA50C5"/>
    <w:rsid w:val="00CA5297"/>
    <w:rsid w:val="00CA68C5"/>
    <w:rsid w:val="00CA6E5D"/>
    <w:rsid w:val="00CA736B"/>
    <w:rsid w:val="00CB3421"/>
    <w:rsid w:val="00CB5501"/>
    <w:rsid w:val="00CB6F96"/>
    <w:rsid w:val="00CB741C"/>
    <w:rsid w:val="00CB7E87"/>
    <w:rsid w:val="00CC014B"/>
    <w:rsid w:val="00CC0260"/>
    <w:rsid w:val="00CC2E98"/>
    <w:rsid w:val="00CC3CAD"/>
    <w:rsid w:val="00CC4413"/>
    <w:rsid w:val="00CC58E0"/>
    <w:rsid w:val="00CC6D34"/>
    <w:rsid w:val="00CC75DE"/>
    <w:rsid w:val="00CC7ACB"/>
    <w:rsid w:val="00CC7C8B"/>
    <w:rsid w:val="00CC7CB3"/>
    <w:rsid w:val="00CC7F8D"/>
    <w:rsid w:val="00CD1390"/>
    <w:rsid w:val="00CD196B"/>
    <w:rsid w:val="00CD1A80"/>
    <w:rsid w:val="00CD1C16"/>
    <w:rsid w:val="00CD31C4"/>
    <w:rsid w:val="00CD332A"/>
    <w:rsid w:val="00CD3EB1"/>
    <w:rsid w:val="00CD3FC2"/>
    <w:rsid w:val="00CD4D3D"/>
    <w:rsid w:val="00CD5561"/>
    <w:rsid w:val="00CD5BB5"/>
    <w:rsid w:val="00CD6381"/>
    <w:rsid w:val="00CD7595"/>
    <w:rsid w:val="00CE05E5"/>
    <w:rsid w:val="00CE0E71"/>
    <w:rsid w:val="00CE2CD4"/>
    <w:rsid w:val="00CE2E42"/>
    <w:rsid w:val="00CE3B45"/>
    <w:rsid w:val="00CE4302"/>
    <w:rsid w:val="00CE4421"/>
    <w:rsid w:val="00CE4A8F"/>
    <w:rsid w:val="00CE6133"/>
    <w:rsid w:val="00CE6A36"/>
    <w:rsid w:val="00CE6ED2"/>
    <w:rsid w:val="00CE6F0D"/>
    <w:rsid w:val="00CE7E06"/>
    <w:rsid w:val="00CF0E4A"/>
    <w:rsid w:val="00CF18EF"/>
    <w:rsid w:val="00CF247B"/>
    <w:rsid w:val="00CF449E"/>
    <w:rsid w:val="00CF4A46"/>
    <w:rsid w:val="00CF5B78"/>
    <w:rsid w:val="00CF5C1C"/>
    <w:rsid w:val="00CF6594"/>
    <w:rsid w:val="00CF7BF0"/>
    <w:rsid w:val="00D0070B"/>
    <w:rsid w:val="00D00834"/>
    <w:rsid w:val="00D02655"/>
    <w:rsid w:val="00D02BE2"/>
    <w:rsid w:val="00D0358B"/>
    <w:rsid w:val="00D03A3F"/>
    <w:rsid w:val="00D03DE4"/>
    <w:rsid w:val="00D060B0"/>
    <w:rsid w:val="00D077AD"/>
    <w:rsid w:val="00D07E9B"/>
    <w:rsid w:val="00D11554"/>
    <w:rsid w:val="00D11C37"/>
    <w:rsid w:val="00D12A0D"/>
    <w:rsid w:val="00D14055"/>
    <w:rsid w:val="00D147D9"/>
    <w:rsid w:val="00D15470"/>
    <w:rsid w:val="00D17C34"/>
    <w:rsid w:val="00D204B6"/>
    <w:rsid w:val="00D21CFB"/>
    <w:rsid w:val="00D21EA4"/>
    <w:rsid w:val="00D22176"/>
    <w:rsid w:val="00D224F4"/>
    <w:rsid w:val="00D22787"/>
    <w:rsid w:val="00D22E99"/>
    <w:rsid w:val="00D23110"/>
    <w:rsid w:val="00D231FC"/>
    <w:rsid w:val="00D23208"/>
    <w:rsid w:val="00D24314"/>
    <w:rsid w:val="00D24B4B"/>
    <w:rsid w:val="00D24D08"/>
    <w:rsid w:val="00D252B2"/>
    <w:rsid w:val="00D27669"/>
    <w:rsid w:val="00D27B73"/>
    <w:rsid w:val="00D27F34"/>
    <w:rsid w:val="00D30498"/>
    <w:rsid w:val="00D30C48"/>
    <w:rsid w:val="00D3207D"/>
    <w:rsid w:val="00D323AE"/>
    <w:rsid w:val="00D34517"/>
    <w:rsid w:val="00D3456C"/>
    <w:rsid w:val="00D34579"/>
    <w:rsid w:val="00D3492E"/>
    <w:rsid w:val="00D36398"/>
    <w:rsid w:val="00D367DC"/>
    <w:rsid w:val="00D37531"/>
    <w:rsid w:val="00D4033A"/>
    <w:rsid w:val="00D43D11"/>
    <w:rsid w:val="00D44D98"/>
    <w:rsid w:val="00D45567"/>
    <w:rsid w:val="00D45626"/>
    <w:rsid w:val="00D46363"/>
    <w:rsid w:val="00D537AE"/>
    <w:rsid w:val="00D53E75"/>
    <w:rsid w:val="00D54398"/>
    <w:rsid w:val="00D54EB2"/>
    <w:rsid w:val="00D561A7"/>
    <w:rsid w:val="00D56326"/>
    <w:rsid w:val="00D567E4"/>
    <w:rsid w:val="00D5733A"/>
    <w:rsid w:val="00D5738D"/>
    <w:rsid w:val="00D57948"/>
    <w:rsid w:val="00D6002C"/>
    <w:rsid w:val="00D62947"/>
    <w:rsid w:val="00D62CBA"/>
    <w:rsid w:val="00D647F8"/>
    <w:rsid w:val="00D65FDC"/>
    <w:rsid w:val="00D66340"/>
    <w:rsid w:val="00D66F40"/>
    <w:rsid w:val="00D677C7"/>
    <w:rsid w:val="00D70A9E"/>
    <w:rsid w:val="00D70DAF"/>
    <w:rsid w:val="00D71228"/>
    <w:rsid w:val="00D72FF1"/>
    <w:rsid w:val="00D73C7C"/>
    <w:rsid w:val="00D73DA0"/>
    <w:rsid w:val="00D73F74"/>
    <w:rsid w:val="00D742F6"/>
    <w:rsid w:val="00D74DD8"/>
    <w:rsid w:val="00D751BC"/>
    <w:rsid w:val="00D76F57"/>
    <w:rsid w:val="00D80527"/>
    <w:rsid w:val="00D83468"/>
    <w:rsid w:val="00D83ADC"/>
    <w:rsid w:val="00D8405C"/>
    <w:rsid w:val="00D848C9"/>
    <w:rsid w:val="00D84D19"/>
    <w:rsid w:val="00D850B0"/>
    <w:rsid w:val="00D863D1"/>
    <w:rsid w:val="00D9057C"/>
    <w:rsid w:val="00D90AD3"/>
    <w:rsid w:val="00D90F4A"/>
    <w:rsid w:val="00D91378"/>
    <w:rsid w:val="00D918BA"/>
    <w:rsid w:val="00D9245B"/>
    <w:rsid w:val="00D927E0"/>
    <w:rsid w:val="00D92954"/>
    <w:rsid w:val="00D92EC4"/>
    <w:rsid w:val="00D93842"/>
    <w:rsid w:val="00D944E3"/>
    <w:rsid w:val="00D94A71"/>
    <w:rsid w:val="00D952B4"/>
    <w:rsid w:val="00D95ABF"/>
    <w:rsid w:val="00D970F6"/>
    <w:rsid w:val="00D97371"/>
    <w:rsid w:val="00DA05D9"/>
    <w:rsid w:val="00DA086F"/>
    <w:rsid w:val="00DA1495"/>
    <w:rsid w:val="00DA177C"/>
    <w:rsid w:val="00DA1B83"/>
    <w:rsid w:val="00DA24F4"/>
    <w:rsid w:val="00DA3287"/>
    <w:rsid w:val="00DA594C"/>
    <w:rsid w:val="00DA77D1"/>
    <w:rsid w:val="00DA79B8"/>
    <w:rsid w:val="00DA7B48"/>
    <w:rsid w:val="00DB06A0"/>
    <w:rsid w:val="00DB0829"/>
    <w:rsid w:val="00DB1D95"/>
    <w:rsid w:val="00DB232E"/>
    <w:rsid w:val="00DB4022"/>
    <w:rsid w:val="00DB418C"/>
    <w:rsid w:val="00DB4687"/>
    <w:rsid w:val="00DB6024"/>
    <w:rsid w:val="00DB6359"/>
    <w:rsid w:val="00DB72A4"/>
    <w:rsid w:val="00DB78DA"/>
    <w:rsid w:val="00DB7F9E"/>
    <w:rsid w:val="00DC0A8C"/>
    <w:rsid w:val="00DC37E8"/>
    <w:rsid w:val="00DC3818"/>
    <w:rsid w:val="00DC39CD"/>
    <w:rsid w:val="00DC4AF9"/>
    <w:rsid w:val="00DC53A1"/>
    <w:rsid w:val="00DC6C39"/>
    <w:rsid w:val="00DC7E2C"/>
    <w:rsid w:val="00DD054E"/>
    <w:rsid w:val="00DD0876"/>
    <w:rsid w:val="00DD128F"/>
    <w:rsid w:val="00DD1A07"/>
    <w:rsid w:val="00DD1DD5"/>
    <w:rsid w:val="00DD21DD"/>
    <w:rsid w:val="00DD26E4"/>
    <w:rsid w:val="00DD2A25"/>
    <w:rsid w:val="00DD3794"/>
    <w:rsid w:val="00DD3FCE"/>
    <w:rsid w:val="00DD5B3C"/>
    <w:rsid w:val="00DD6A37"/>
    <w:rsid w:val="00DE1F06"/>
    <w:rsid w:val="00DE1FF8"/>
    <w:rsid w:val="00DE229B"/>
    <w:rsid w:val="00DE236F"/>
    <w:rsid w:val="00DE2A67"/>
    <w:rsid w:val="00DE3881"/>
    <w:rsid w:val="00DE3985"/>
    <w:rsid w:val="00DE3AFE"/>
    <w:rsid w:val="00DE3FD7"/>
    <w:rsid w:val="00DE424F"/>
    <w:rsid w:val="00DE47DE"/>
    <w:rsid w:val="00DE49EE"/>
    <w:rsid w:val="00DE6562"/>
    <w:rsid w:val="00DE66F6"/>
    <w:rsid w:val="00DE721C"/>
    <w:rsid w:val="00DE7A7F"/>
    <w:rsid w:val="00DF0306"/>
    <w:rsid w:val="00DF0FC7"/>
    <w:rsid w:val="00DF118F"/>
    <w:rsid w:val="00DF1D3A"/>
    <w:rsid w:val="00DF1FFA"/>
    <w:rsid w:val="00DF26E9"/>
    <w:rsid w:val="00DF3039"/>
    <w:rsid w:val="00DF334F"/>
    <w:rsid w:val="00DF3471"/>
    <w:rsid w:val="00DF4C44"/>
    <w:rsid w:val="00DF5CA3"/>
    <w:rsid w:val="00DF64B1"/>
    <w:rsid w:val="00DF6E5A"/>
    <w:rsid w:val="00DF734A"/>
    <w:rsid w:val="00E009AE"/>
    <w:rsid w:val="00E01C8A"/>
    <w:rsid w:val="00E02268"/>
    <w:rsid w:val="00E024C4"/>
    <w:rsid w:val="00E0337A"/>
    <w:rsid w:val="00E03FE7"/>
    <w:rsid w:val="00E056C5"/>
    <w:rsid w:val="00E060B1"/>
    <w:rsid w:val="00E06E8C"/>
    <w:rsid w:val="00E11432"/>
    <w:rsid w:val="00E115D5"/>
    <w:rsid w:val="00E13336"/>
    <w:rsid w:val="00E13AAE"/>
    <w:rsid w:val="00E14E67"/>
    <w:rsid w:val="00E15F52"/>
    <w:rsid w:val="00E16751"/>
    <w:rsid w:val="00E202B1"/>
    <w:rsid w:val="00E202D4"/>
    <w:rsid w:val="00E21194"/>
    <w:rsid w:val="00E2254F"/>
    <w:rsid w:val="00E23625"/>
    <w:rsid w:val="00E2432D"/>
    <w:rsid w:val="00E24BD9"/>
    <w:rsid w:val="00E254C3"/>
    <w:rsid w:val="00E25D5F"/>
    <w:rsid w:val="00E2665F"/>
    <w:rsid w:val="00E270DF"/>
    <w:rsid w:val="00E30087"/>
    <w:rsid w:val="00E30B9D"/>
    <w:rsid w:val="00E30FE6"/>
    <w:rsid w:val="00E318D8"/>
    <w:rsid w:val="00E3202D"/>
    <w:rsid w:val="00E33559"/>
    <w:rsid w:val="00E335F3"/>
    <w:rsid w:val="00E33D4B"/>
    <w:rsid w:val="00E3495F"/>
    <w:rsid w:val="00E34C1F"/>
    <w:rsid w:val="00E34DFC"/>
    <w:rsid w:val="00E3617E"/>
    <w:rsid w:val="00E36426"/>
    <w:rsid w:val="00E366E4"/>
    <w:rsid w:val="00E40264"/>
    <w:rsid w:val="00E4101B"/>
    <w:rsid w:val="00E41DE7"/>
    <w:rsid w:val="00E4523E"/>
    <w:rsid w:val="00E45570"/>
    <w:rsid w:val="00E45EF8"/>
    <w:rsid w:val="00E505D2"/>
    <w:rsid w:val="00E52EC6"/>
    <w:rsid w:val="00E53146"/>
    <w:rsid w:val="00E53D52"/>
    <w:rsid w:val="00E54D4E"/>
    <w:rsid w:val="00E562A4"/>
    <w:rsid w:val="00E5752D"/>
    <w:rsid w:val="00E6009B"/>
    <w:rsid w:val="00E616D7"/>
    <w:rsid w:val="00E628B6"/>
    <w:rsid w:val="00E63D4C"/>
    <w:rsid w:val="00E642BF"/>
    <w:rsid w:val="00E650B0"/>
    <w:rsid w:val="00E67BF2"/>
    <w:rsid w:val="00E70733"/>
    <w:rsid w:val="00E70EEB"/>
    <w:rsid w:val="00E70F45"/>
    <w:rsid w:val="00E71CE8"/>
    <w:rsid w:val="00E71D89"/>
    <w:rsid w:val="00E73073"/>
    <w:rsid w:val="00E74234"/>
    <w:rsid w:val="00E76417"/>
    <w:rsid w:val="00E77118"/>
    <w:rsid w:val="00E77345"/>
    <w:rsid w:val="00E818BD"/>
    <w:rsid w:val="00E82274"/>
    <w:rsid w:val="00E82B9C"/>
    <w:rsid w:val="00E82BB7"/>
    <w:rsid w:val="00E83E88"/>
    <w:rsid w:val="00E853FF"/>
    <w:rsid w:val="00E863E0"/>
    <w:rsid w:val="00E86C7B"/>
    <w:rsid w:val="00E8769C"/>
    <w:rsid w:val="00E906E5"/>
    <w:rsid w:val="00E9152A"/>
    <w:rsid w:val="00E91FA7"/>
    <w:rsid w:val="00E9281A"/>
    <w:rsid w:val="00E93AB0"/>
    <w:rsid w:val="00E94135"/>
    <w:rsid w:val="00E947D1"/>
    <w:rsid w:val="00EA0801"/>
    <w:rsid w:val="00EA1057"/>
    <w:rsid w:val="00EA3FCD"/>
    <w:rsid w:val="00EA4481"/>
    <w:rsid w:val="00EA4AE2"/>
    <w:rsid w:val="00EA4E05"/>
    <w:rsid w:val="00EA566E"/>
    <w:rsid w:val="00EA6037"/>
    <w:rsid w:val="00EA68F6"/>
    <w:rsid w:val="00EA6A41"/>
    <w:rsid w:val="00EA6D98"/>
    <w:rsid w:val="00EA79DD"/>
    <w:rsid w:val="00EA7BD7"/>
    <w:rsid w:val="00EB1303"/>
    <w:rsid w:val="00EB15FE"/>
    <w:rsid w:val="00EB2CF8"/>
    <w:rsid w:val="00EB32ED"/>
    <w:rsid w:val="00EB34ED"/>
    <w:rsid w:val="00EB35D3"/>
    <w:rsid w:val="00EB3F66"/>
    <w:rsid w:val="00EB551C"/>
    <w:rsid w:val="00EB56CA"/>
    <w:rsid w:val="00EB601C"/>
    <w:rsid w:val="00EB6039"/>
    <w:rsid w:val="00EB6075"/>
    <w:rsid w:val="00EB6114"/>
    <w:rsid w:val="00EB62CD"/>
    <w:rsid w:val="00EB7C01"/>
    <w:rsid w:val="00EC2290"/>
    <w:rsid w:val="00EC3398"/>
    <w:rsid w:val="00EC3DA4"/>
    <w:rsid w:val="00EC4D2B"/>
    <w:rsid w:val="00EC6689"/>
    <w:rsid w:val="00ED1488"/>
    <w:rsid w:val="00ED1FFD"/>
    <w:rsid w:val="00ED21C6"/>
    <w:rsid w:val="00ED24B1"/>
    <w:rsid w:val="00ED31BA"/>
    <w:rsid w:val="00ED35B7"/>
    <w:rsid w:val="00ED3630"/>
    <w:rsid w:val="00ED396C"/>
    <w:rsid w:val="00ED4066"/>
    <w:rsid w:val="00ED6438"/>
    <w:rsid w:val="00ED6476"/>
    <w:rsid w:val="00ED6991"/>
    <w:rsid w:val="00ED7074"/>
    <w:rsid w:val="00ED7BE9"/>
    <w:rsid w:val="00EE035B"/>
    <w:rsid w:val="00EE2B10"/>
    <w:rsid w:val="00EE383F"/>
    <w:rsid w:val="00EE5149"/>
    <w:rsid w:val="00EE79B3"/>
    <w:rsid w:val="00EF2243"/>
    <w:rsid w:val="00EF427A"/>
    <w:rsid w:val="00EF42E5"/>
    <w:rsid w:val="00EF47F0"/>
    <w:rsid w:val="00EF58C5"/>
    <w:rsid w:val="00F005FA"/>
    <w:rsid w:val="00F01A02"/>
    <w:rsid w:val="00F01A57"/>
    <w:rsid w:val="00F0308B"/>
    <w:rsid w:val="00F03525"/>
    <w:rsid w:val="00F03EEF"/>
    <w:rsid w:val="00F04653"/>
    <w:rsid w:val="00F0510B"/>
    <w:rsid w:val="00F0661F"/>
    <w:rsid w:val="00F06885"/>
    <w:rsid w:val="00F06BC0"/>
    <w:rsid w:val="00F07098"/>
    <w:rsid w:val="00F107EF"/>
    <w:rsid w:val="00F112C2"/>
    <w:rsid w:val="00F11541"/>
    <w:rsid w:val="00F1193C"/>
    <w:rsid w:val="00F13342"/>
    <w:rsid w:val="00F14F4C"/>
    <w:rsid w:val="00F155BF"/>
    <w:rsid w:val="00F158A6"/>
    <w:rsid w:val="00F16672"/>
    <w:rsid w:val="00F166C6"/>
    <w:rsid w:val="00F166EF"/>
    <w:rsid w:val="00F1711F"/>
    <w:rsid w:val="00F22C44"/>
    <w:rsid w:val="00F23AE2"/>
    <w:rsid w:val="00F2452F"/>
    <w:rsid w:val="00F24664"/>
    <w:rsid w:val="00F252A0"/>
    <w:rsid w:val="00F25C5F"/>
    <w:rsid w:val="00F2621B"/>
    <w:rsid w:val="00F26239"/>
    <w:rsid w:val="00F26604"/>
    <w:rsid w:val="00F2675B"/>
    <w:rsid w:val="00F27160"/>
    <w:rsid w:val="00F277C2"/>
    <w:rsid w:val="00F27A28"/>
    <w:rsid w:val="00F315AA"/>
    <w:rsid w:val="00F32768"/>
    <w:rsid w:val="00F32812"/>
    <w:rsid w:val="00F344BE"/>
    <w:rsid w:val="00F374A6"/>
    <w:rsid w:val="00F374BD"/>
    <w:rsid w:val="00F3781A"/>
    <w:rsid w:val="00F4002E"/>
    <w:rsid w:val="00F407AE"/>
    <w:rsid w:val="00F41A34"/>
    <w:rsid w:val="00F423A2"/>
    <w:rsid w:val="00F4286F"/>
    <w:rsid w:val="00F467C5"/>
    <w:rsid w:val="00F50062"/>
    <w:rsid w:val="00F518CD"/>
    <w:rsid w:val="00F51DE3"/>
    <w:rsid w:val="00F53612"/>
    <w:rsid w:val="00F53A51"/>
    <w:rsid w:val="00F53D0C"/>
    <w:rsid w:val="00F54EF1"/>
    <w:rsid w:val="00F55BED"/>
    <w:rsid w:val="00F56F0E"/>
    <w:rsid w:val="00F57C07"/>
    <w:rsid w:val="00F600A9"/>
    <w:rsid w:val="00F60542"/>
    <w:rsid w:val="00F608E4"/>
    <w:rsid w:val="00F612C1"/>
    <w:rsid w:val="00F61B35"/>
    <w:rsid w:val="00F64D91"/>
    <w:rsid w:val="00F654A8"/>
    <w:rsid w:val="00F6631B"/>
    <w:rsid w:val="00F666C3"/>
    <w:rsid w:val="00F66924"/>
    <w:rsid w:val="00F66B67"/>
    <w:rsid w:val="00F66FB2"/>
    <w:rsid w:val="00F67AB1"/>
    <w:rsid w:val="00F70286"/>
    <w:rsid w:val="00F711C8"/>
    <w:rsid w:val="00F71292"/>
    <w:rsid w:val="00F71715"/>
    <w:rsid w:val="00F71F49"/>
    <w:rsid w:val="00F72410"/>
    <w:rsid w:val="00F7378A"/>
    <w:rsid w:val="00F74291"/>
    <w:rsid w:val="00F74680"/>
    <w:rsid w:val="00F75276"/>
    <w:rsid w:val="00F76B45"/>
    <w:rsid w:val="00F8099A"/>
    <w:rsid w:val="00F80D4F"/>
    <w:rsid w:val="00F8246E"/>
    <w:rsid w:val="00F82E9E"/>
    <w:rsid w:val="00F8526F"/>
    <w:rsid w:val="00F8712F"/>
    <w:rsid w:val="00F87BD1"/>
    <w:rsid w:val="00F87CB2"/>
    <w:rsid w:val="00F9069B"/>
    <w:rsid w:val="00F918D5"/>
    <w:rsid w:val="00F92BEA"/>
    <w:rsid w:val="00F932C9"/>
    <w:rsid w:val="00F9356F"/>
    <w:rsid w:val="00F9388D"/>
    <w:rsid w:val="00F93916"/>
    <w:rsid w:val="00F94DD2"/>
    <w:rsid w:val="00F95805"/>
    <w:rsid w:val="00F95FE6"/>
    <w:rsid w:val="00FA0C8E"/>
    <w:rsid w:val="00FA2CC0"/>
    <w:rsid w:val="00FA3003"/>
    <w:rsid w:val="00FA4C0F"/>
    <w:rsid w:val="00FA51C7"/>
    <w:rsid w:val="00FA54B7"/>
    <w:rsid w:val="00FA65AE"/>
    <w:rsid w:val="00FA6BAE"/>
    <w:rsid w:val="00FA707B"/>
    <w:rsid w:val="00FA7E93"/>
    <w:rsid w:val="00FB05F6"/>
    <w:rsid w:val="00FB0912"/>
    <w:rsid w:val="00FB1DE8"/>
    <w:rsid w:val="00FB2DC2"/>
    <w:rsid w:val="00FB4A51"/>
    <w:rsid w:val="00FB4CC1"/>
    <w:rsid w:val="00FB6129"/>
    <w:rsid w:val="00FB66A7"/>
    <w:rsid w:val="00FB7A00"/>
    <w:rsid w:val="00FB7FC4"/>
    <w:rsid w:val="00FC1516"/>
    <w:rsid w:val="00FC1B89"/>
    <w:rsid w:val="00FC2D61"/>
    <w:rsid w:val="00FC54DA"/>
    <w:rsid w:val="00FC5D90"/>
    <w:rsid w:val="00FC6D9A"/>
    <w:rsid w:val="00FC701E"/>
    <w:rsid w:val="00FC7544"/>
    <w:rsid w:val="00FD2027"/>
    <w:rsid w:val="00FD2C4B"/>
    <w:rsid w:val="00FD2F41"/>
    <w:rsid w:val="00FD4ABE"/>
    <w:rsid w:val="00FD4F96"/>
    <w:rsid w:val="00FD534B"/>
    <w:rsid w:val="00FD5364"/>
    <w:rsid w:val="00FD547A"/>
    <w:rsid w:val="00FD5645"/>
    <w:rsid w:val="00FD5A56"/>
    <w:rsid w:val="00FD6097"/>
    <w:rsid w:val="00FE0C40"/>
    <w:rsid w:val="00FE20EF"/>
    <w:rsid w:val="00FE22AA"/>
    <w:rsid w:val="00FE24B3"/>
    <w:rsid w:val="00FE3C5C"/>
    <w:rsid w:val="00FE4CEA"/>
    <w:rsid w:val="00FE4DD7"/>
    <w:rsid w:val="00FE5160"/>
    <w:rsid w:val="00FE6A95"/>
    <w:rsid w:val="00FE758B"/>
    <w:rsid w:val="00FF0697"/>
    <w:rsid w:val="00FF06A5"/>
    <w:rsid w:val="00FF18AC"/>
    <w:rsid w:val="00FF2AE8"/>
    <w:rsid w:val="00FF4EFD"/>
    <w:rsid w:val="00FF5FB3"/>
    <w:rsid w:val="00FF7AB7"/>
    <w:rsid w:val="0BCE8CA8"/>
    <w:rsid w:val="1A474C7A"/>
    <w:rsid w:val="1D5B6FDC"/>
    <w:rsid w:val="21B20E5E"/>
    <w:rsid w:val="232E8C8C"/>
    <w:rsid w:val="2801FDAF"/>
    <w:rsid w:val="29572344"/>
    <w:rsid w:val="2C06C0E6"/>
    <w:rsid w:val="3C37FCDB"/>
    <w:rsid w:val="3C480E1D"/>
    <w:rsid w:val="50F9C3A5"/>
    <w:rsid w:val="54538006"/>
    <w:rsid w:val="709E85D3"/>
    <w:rsid w:val="73189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F7A1B"/>
  <w15:chartTrackingRefBased/>
  <w15:docId w15:val="{D88778AF-6A72-413C-AA7D-02091A43C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52C"/>
    <w:pPr>
      <w:spacing w:after="120" w:line="360" w:lineRule="atLeast"/>
    </w:pPr>
    <w:rPr>
      <w:sz w:val="24"/>
      <w:lang w:val="fr-CA"/>
    </w:rPr>
  </w:style>
  <w:style w:type="paragraph" w:styleId="Heading1">
    <w:name w:val="heading 1"/>
    <w:basedOn w:val="Normal"/>
    <w:next w:val="Normal"/>
    <w:link w:val="Heading1Char"/>
    <w:qFormat/>
    <w:rsid w:val="00973D5B"/>
    <w:pPr>
      <w:keepNext/>
      <w:keepLines/>
      <w:spacing w:before="12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nhideWhenUsed/>
    <w:qFormat/>
    <w:rsid w:val="00973D5B"/>
    <w:pPr>
      <w:keepNext/>
      <w:keepLines/>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73D5B"/>
    <w:pPr>
      <w:keepNext/>
      <w:keepLines/>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qFormat/>
    <w:rsid w:val="00973D5B"/>
    <w:pPr>
      <w:keepNext/>
      <w:tabs>
        <w:tab w:val="num" w:pos="864"/>
      </w:tabs>
      <w:ind w:left="864" w:hanging="864"/>
      <w:outlineLvl w:val="3"/>
    </w:pPr>
    <w:rPr>
      <w:rFonts w:eastAsia="Times New Roman" w:cs="Times New Roman"/>
      <w:b/>
      <w:szCs w:val="20"/>
    </w:rPr>
  </w:style>
  <w:style w:type="paragraph" w:styleId="Heading5">
    <w:name w:val="heading 5"/>
    <w:basedOn w:val="Normal"/>
    <w:next w:val="Normal"/>
    <w:link w:val="Heading5Char"/>
    <w:qFormat/>
    <w:rsid w:val="00243AE2"/>
    <w:pPr>
      <w:tabs>
        <w:tab w:val="num" w:pos="1008"/>
      </w:tabs>
      <w:spacing w:before="240" w:after="60"/>
      <w:ind w:left="1008" w:hanging="1008"/>
      <w:outlineLvl w:val="4"/>
    </w:pPr>
    <w:rPr>
      <w:rFonts w:eastAsia="Times New Roman" w:cs="Times New Roman"/>
      <w:sz w:val="22"/>
      <w:szCs w:val="20"/>
      <w:lang w:val="en-CA"/>
    </w:rPr>
  </w:style>
  <w:style w:type="paragraph" w:styleId="Heading6">
    <w:name w:val="heading 6"/>
    <w:basedOn w:val="Normal"/>
    <w:next w:val="Normal"/>
    <w:link w:val="Heading6Char"/>
    <w:qFormat/>
    <w:rsid w:val="00243AE2"/>
    <w:pPr>
      <w:tabs>
        <w:tab w:val="num" w:pos="1152"/>
      </w:tabs>
      <w:spacing w:before="240" w:after="60"/>
      <w:ind w:left="1152" w:hanging="1152"/>
      <w:outlineLvl w:val="5"/>
    </w:pPr>
    <w:rPr>
      <w:rFonts w:eastAsia="Times New Roman" w:cs="Times New Roman"/>
      <w:i/>
      <w:sz w:val="22"/>
      <w:szCs w:val="20"/>
      <w:lang w:val="en-CA"/>
    </w:rPr>
  </w:style>
  <w:style w:type="paragraph" w:styleId="Heading7">
    <w:name w:val="heading 7"/>
    <w:basedOn w:val="Normal"/>
    <w:next w:val="Normal"/>
    <w:link w:val="Heading7Char"/>
    <w:qFormat/>
    <w:rsid w:val="00243AE2"/>
    <w:pPr>
      <w:tabs>
        <w:tab w:val="num" w:pos="1296"/>
      </w:tabs>
      <w:spacing w:before="240" w:after="60"/>
      <w:ind w:left="1296" w:hanging="1296"/>
      <w:outlineLvl w:val="6"/>
    </w:pPr>
    <w:rPr>
      <w:rFonts w:eastAsia="Times New Roman" w:cs="Times New Roman"/>
      <w:sz w:val="20"/>
      <w:szCs w:val="20"/>
      <w:lang w:val="en-CA"/>
    </w:rPr>
  </w:style>
  <w:style w:type="paragraph" w:styleId="Heading8">
    <w:name w:val="heading 8"/>
    <w:basedOn w:val="Normal"/>
    <w:next w:val="Normal"/>
    <w:link w:val="Heading8Char"/>
    <w:qFormat/>
    <w:rsid w:val="00243AE2"/>
    <w:pPr>
      <w:tabs>
        <w:tab w:val="num" w:pos="1440"/>
      </w:tabs>
      <w:spacing w:before="240" w:after="60"/>
      <w:ind w:left="1440" w:hanging="1440"/>
      <w:outlineLvl w:val="7"/>
    </w:pPr>
    <w:rPr>
      <w:rFonts w:eastAsia="Times New Roman" w:cs="Times New Roman"/>
      <w:i/>
      <w:sz w:val="20"/>
      <w:szCs w:val="20"/>
      <w:lang w:val="en-CA"/>
    </w:rPr>
  </w:style>
  <w:style w:type="paragraph" w:styleId="Heading9">
    <w:name w:val="heading 9"/>
    <w:basedOn w:val="Normal"/>
    <w:next w:val="Normal"/>
    <w:link w:val="Heading9Char"/>
    <w:qFormat/>
    <w:rsid w:val="00243AE2"/>
    <w:pPr>
      <w:tabs>
        <w:tab w:val="num" w:pos="1584"/>
      </w:tabs>
      <w:spacing w:before="240" w:after="60"/>
      <w:ind w:left="1584" w:hanging="1584"/>
      <w:outlineLvl w:val="8"/>
    </w:pPr>
    <w:rPr>
      <w:rFonts w:eastAsia="Times New Roman" w:cs="Times New Roman"/>
      <w:b/>
      <w:i/>
      <w:sz w:val="18"/>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3D5B"/>
    <w:rPr>
      <w:rFonts w:asciiTheme="majorHAnsi" w:eastAsiaTheme="majorEastAsia" w:hAnsiTheme="majorHAnsi" w:cstheme="majorBidi"/>
      <w:color w:val="2F5496" w:themeColor="accent1" w:themeShade="BF"/>
      <w:sz w:val="36"/>
      <w:szCs w:val="32"/>
      <w:lang w:val="fr-CA"/>
    </w:rPr>
  </w:style>
  <w:style w:type="character" w:customStyle="1" w:styleId="Heading3Char">
    <w:name w:val="Heading 3 Char"/>
    <w:basedOn w:val="DefaultParagraphFont"/>
    <w:link w:val="Heading3"/>
    <w:uiPriority w:val="9"/>
    <w:rsid w:val="00973D5B"/>
    <w:rPr>
      <w:rFonts w:eastAsiaTheme="majorEastAsia" w:cstheme="majorBidi"/>
      <w:color w:val="1F3763" w:themeColor="accent1" w:themeShade="7F"/>
      <w:sz w:val="28"/>
      <w:szCs w:val="24"/>
      <w:lang w:val="fr-CA"/>
    </w:rPr>
  </w:style>
  <w:style w:type="paragraph" w:styleId="ListParagraph">
    <w:name w:val="List Paragraph"/>
    <w:aliases w:val="Dot pt,Liste 1,F5 List Paragraph,List Paragraph Char Char Char,Indicator Text,Numbered Para 1,Bullet 1,Bullet Points,List Paragraph2,MAIN CONTENT,Normal numbered,List Paragraph1,Bullet List,FooterText,numbered,Paragraphe de liste1,L"/>
    <w:basedOn w:val="Normal"/>
    <w:uiPriority w:val="34"/>
    <w:qFormat/>
    <w:rsid w:val="00406B9D"/>
    <w:pPr>
      <w:ind w:left="720"/>
    </w:pPr>
  </w:style>
  <w:style w:type="character" w:customStyle="1" w:styleId="Heading2Char">
    <w:name w:val="Heading 2 Char"/>
    <w:basedOn w:val="DefaultParagraphFont"/>
    <w:link w:val="Heading2"/>
    <w:rsid w:val="00973D5B"/>
    <w:rPr>
      <w:rFonts w:asciiTheme="majorHAnsi" w:eastAsiaTheme="majorEastAsia" w:hAnsiTheme="majorHAnsi" w:cstheme="majorBidi"/>
      <w:color w:val="2F5496" w:themeColor="accent1" w:themeShade="BF"/>
      <w:sz w:val="32"/>
      <w:szCs w:val="26"/>
      <w:lang w:val="fr-CA"/>
    </w:rPr>
  </w:style>
  <w:style w:type="paragraph" w:styleId="Header">
    <w:name w:val="header"/>
    <w:basedOn w:val="Normal"/>
    <w:link w:val="HeaderChar"/>
    <w:uiPriority w:val="99"/>
    <w:unhideWhenUsed/>
    <w:rsid w:val="00243AE2"/>
    <w:pPr>
      <w:tabs>
        <w:tab w:val="center" w:pos="4680"/>
        <w:tab w:val="right" w:pos="9360"/>
      </w:tabs>
      <w:spacing w:after="0"/>
    </w:pPr>
  </w:style>
  <w:style w:type="character" w:customStyle="1" w:styleId="HeaderChar">
    <w:name w:val="Header Char"/>
    <w:basedOn w:val="DefaultParagraphFont"/>
    <w:link w:val="Header"/>
    <w:uiPriority w:val="99"/>
    <w:rsid w:val="00243AE2"/>
    <w:rPr>
      <w:rFonts w:ascii="Arial" w:hAnsi="Arial"/>
      <w:sz w:val="24"/>
    </w:rPr>
  </w:style>
  <w:style w:type="paragraph" w:styleId="Footer">
    <w:name w:val="footer"/>
    <w:basedOn w:val="Normal"/>
    <w:link w:val="FooterChar"/>
    <w:uiPriority w:val="99"/>
    <w:unhideWhenUsed/>
    <w:rsid w:val="00243AE2"/>
    <w:pPr>
      <w:tabs>
        <w:tab w:val="center" w:pos="4680"/>
        <w:tab w:val="right" w:pos="9360"/>
      </w:tabs>
      <w:spacing w:after="0"/>
    </w:pPr>
  </w:style>
  <w:style w:type="character" w:customStyle="1" w:styleId="FooterChar">
    <w:name w:val="Footer Char"/>
    <w:basedOn w:val="DefaultParagraphFont"/>
    <w:link w:val="Footer"/>
    <w:uiPriority w:val="99"/>
    <w:rsid w:val="00243AE2"/>
    <w:rPr>
      <w:rFonts w:ascii="Arial" w:hAnsi="Arial"/>
      <w:sz w:val="24"/>
    </w:rPr>
  </w:style>
  <w:style w:type="character" w:customStyle="1" w:styleId="Heading4Char">
    <w:name w:val="Heading 4 Char"/>
    <w:basedOn w:val="DefaultParagraphFont"/>
    <w:link w:val="Heading4"/>
    <w:rsid w:val="00973D5B"/>
    <w:rPr>
      <w:rFonts w:eastAsia="Times New Roman" w:cs="Times New Roman"/>
      <w:b/>
      <w:sz w:val="24"/>
      <w:szCs w:val="20"/>
      <w:lang w:val="fr-CA"/>
    </w:rPr>
  </w:style>
  <w:style w:type="character" w:customStyle="1" w:styleId="Heading5Char">
    <w:name w:val="Heading 5 Char"/>
    <w:basedOn w:val="DefaultParagraphFont"/>
    <w:link w:val="Heading5"/>
    <w:rsid w:val="00243AE2"/>
    <w:rPr>
      <w:rFonts w:ascii="Arial" w:eastAsia="Times New Roman" w:hAnsi="Arial" w:cs="Times New Roman"/>
      <w:szCs w:val="20"/>
      <w:lang w:val="en-CA"/>
    </w:rPr>
  </w:style>
  <w:style w:type="character" w:customStyle="1" w:styleId="Heading6Char">
    <w:name w:val="Heading 6 Char"/>
    <w:basedOn w:val="DefaultParagraphFont"/>
    <w:link w:val="Heading6"/>
    <w:rsid w:val="00243AE2"/>
    <w:rPr>
      <w:rFonts w:ascii="Arial" w:eastAsia="Times New Roman" w:hAnsi="Arial" w:cs="Times New Roman"/>
      <w:i/>
      <w:szCs w:val="20"/>
      <w:lang w:val="en-CA"/>
    </w:rPr>
  </w:style>
  <w:style w:type="character" w:customStyle="1" w:styleId="Heading7Char">
    <w:name w:val="Heading 7 Char"/>
    <w:basedOn w:val="DefaultParagraphFont"/>
    <w:link w:val="Heading7"/>
    <w:rsid w:val="00243AE2"/>
    <w:rPr>
      <w:rFonts w:ascii="Arial" w:eastAsia="Times New Roman" w:hAnsi="Arial" w:cs="Times New Roman"/>
      <w:sz w:val="20"/>
      <w:szCs w:val="20"/>
      <w:lang w:val="en-CA"/>
    </w:rPr>
  </w:style>
  <w:style w:type="character" w:customStyle="1" w:styleId="Heading8Char">
    <w:name w:val="Heading 8 Char"/>
    <w:basedOn w:val="DefaultParagraphFont"/>
    <w:link w:val="Heading8"/>
    <w:rsid w:val="00243AE2"/>
    <w:rPr>
      <w:rFonts w:ascii="Arial" w:eastAsia="Times New Roman" w:hAnsi="Arial" w:cs="Times New Roman"/>
      <w:i/>
      <w:sz w:val="20"/>
      <w:szCs w:val="20"/>
      <w:lang w:val="en-CA"/>
    </w:rPr>
  </w:style>
  <w:style w:type="character" w:customStyle="1" w:styleId="Heading9Char">
    <w:name w:val="Heading 9 Char"/>
    <w:basedOn w:val="DefaultParagraphFont"/>
    <w:link w:val="Heading9"/>
    <w:rsid w:val="00243AE2"/>
    <w:rPr>
      <w:rFonts w:ascii="Arial" w:eastAsia="Times New Roman" w:hAnsi="Arial" w:cs="Times New Roman"/>
      <w:b/>
      <w:i/>
      <w:sz w:val="18"/>
      <w:szCs w:val="20"/>
      <w:lang w:val="en-CA"/>
    </w:rPr>
  </w:style>
  <w:style w:type="paragraph" w:styleId="CommentText">
    <w:name w:val="annotation text"/>
    <w:basedOn w:val="Normal"/>
    <w:link w:val="CommentTextChar"/>
    <w:uiPriority w:val="99"/>
    <w:rsid w:val="00243AE2"/>
    <w:pPr>
      <w:spacing w:after="0"/>
    </w:pPr>
    <w:rPr>
      <w:rFonts w:eastAsia="Times New Roman" w:cs="Times New Roman"/>
      <w:sz w:val="20"/>
      <w:szCs w:val="20"/>
      <w:lang w:val="en-CA"/>
    </w:rPr>
  </w:style>
  <w:style w:type="character" w:customStyle="1" w:styleId="CommentTextChar">
    <w:name w:val="Comment Text Char"/>
    <w:basedOn w:val="DefaultParagraphFont"/>
    <w:link w:val="CommentText"/>
    <w:uiPriority w:val="99"/>
    <w:rsid w:val="00243AE2"/>
    <w:rPr>
      <w:rFonts w:ascii="Arial" w:eastAsia="Times New Roman" w:hAnsi="Arial" w:cs="Times New Roman"/>
      <w:sz w:val="20"/>
      <w:szCs w:val="20"/>
      <w:lang w:val="en-CA"/>
    </w:rPr>
  </w:style>
  <w:style w:type="paragraph" w:styleId="Title">
    <w:name w:val="Title"/>
    <w:basedOn w:val="Normal"/>
    <w:next w:val="Normal"/>
    <w:link w:val="TitleChar"/>
    <w:uiPriority w:val="10"/>
    <w:qFormat/>
    <w:rsid w:val="003D752C"/>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3D752C"/>
    <w:rPr>
      <w:rFonts w:asciiTheme="majorHAnsi" w:eastAsiaTheme="majorEastAsia" w:hAnsiTheme="majorHAnsi" w:cstheme="majorBidi"/>
      <w:spacing w:val="-10"/>
      <w:kern w:val="28"/>
      <w:sz w:val="48"/>
      <w:szCs w:val="56"/>
    </w:rPr>
  </w:style>
  <w:style w:type="character" w:styleId="CommentReference">
    <w:name w:val="annotation reference"/>
    <w:basedOn w:val="DefaultParagraphFont"/>
    <w:uiPriority w:val="99"/>
    <w:semiHidden/>
    <w:unhideWhenUsed/>
    <w:rsid w:val="00243AE2"/>
    <w:rPr>
      <w:sz w:val="16"/>
      <w:szCs w:val="16"/>
    </w:rPr>
  </w:style>
  <w:style w:type="paragraph" w:styleId="CommentSubject">
    <w:name w:val="annotation subject"/>
    <w:basedOn w:val="CommentText"/>
    <w:next w:val="CommentText"/>
    <w:link w:val="CommentSubjectChar"/>
    <w:uiPriority w:val="99"/>
    <w:semiHidden/>
    <w:unhideWhenUsed/>
    <w:rsid w:val="00243AE2"/>
    <w:pPr>
      <w:spacing w:after="120"/>
    </w:pPr>
    <w:rPr>
      <w:rFonts w:eastAsiaTheme="minorHAnsi" w:cstheme="minorBidi"/>
      <w:b/>
      <w:bCs/>
      <w:lang w:val="en-US"/>
    </w:rPr>
  </w:style>
  <w:style w:type="character" w:customStyle="1" w:styleId="CommentSubjectChar">
    <w:name w:val="Comment Subject Char"/>
    <w:basedOn w:val="CommentTextChar"/>
    <w:link w:val="CommentSubject"/>
    <w:uiPriority w:val="99"/>
    <w:semiHidden/>
    <w:rsid w:val="00243AE2"/>
    <w:rPr>
      <w:rFonts w:ascii="Arial" w:eastAsia="Times New Roman" w:hAnsi="Arial" w:cs="Times New Roman"/>
      <w:b/>
      <w:bCs/>
      <w:sz w:val="20"/>
      <w:szCs w:val="20"/>
      <w:lang w:val="en-CA"/>
    </w:rPr>
  </w:style>
  <w:style w:type="character" w:customStyle="1" w:styleId="cf01">
    <w:name w:val="cf01"/>
    <w:basedOn w:val="DefaultParagraphFont"/>
    <w:rsid w:val="00243AE2"/>
    <w:rPr>
      <w:rFonts w:ascii="Segoe UI" w:hAnsi="Segoe UI" w:cs="Segoe UI" w:hint="default"/>
      <w:sz w:val="28"/>
      <w:szCs w:val="28"/>
    </w:rPr>
  </w:style>
  <w:style w:type="character" w:styleId="Hyperlink">
    <w:name w:val="Hyperlink"/>
    <w:basedOn w:val="DefaultParagraphFont"/>
    <w:uiPriority w:val="99"/>
    <w:unhideWhenUsed/>
    <w:rsid w:val="001817DE"/>
    <w:rPr>
      <w:color w:val="0563C1" w:themeColor="hyperlink"/>
      <w:u w:val="single"/>
    </w:rPr>
  </w:style>
  <w:style w:type="character" w:styleId="UnresolvedMention">
    <w:name w:val="Unresolved Mention"/>
    <w:basedOn w:val="DefaultParagraphFont"/>
    <w:uiPriority w:val="99"/>
    <w:semiHidden/>
    <w:unhideWhenUsed/>
    <w:rsid w:val="001817DE"/>
    <w:rPr>
      <w:color w:val="605E5C"/>
      <w:shd w:val="clear" w:color="auto" w:fill="E1DFDD"/>
    </w:rPr>
  </w:style>
  <w:style w:type="character" w:styleId="Emphasis">
    <w:name w:val="Emphasis"/>
    <w:basedOn w:val="DefaultParagraphFont"/>
    <w:uiPriority w:val="20"/>
    <w:qFormat/>
    <w:rsid w:val="00E25D5F"/>
    <w:rPr>
      <w:i/>
      <w:iCs/>
    </w:rPr>
  </w:style>
  <w:style w:type="paragraph" w:customStyle="1" w:styleId="pol-cla">
    <w:name w:val="pol-cla"/>
    <w:basedOn w:val="Normal"/>
    <w:rsid w:val="00E25D5F"/>
    <w:pPr>
      <w:spacing w:before="100" w:beforeAutospacing="1" w:after="100" w:afterAutospacing="1"/>
    </w:pPr>
    <w:rPr>
      <w:rFonts w:ascii="Times New Roman" w:eastAsia="Times New Roman" w:hAnsi="Times New Roman" w:cs="Times New Roman"/>
      <w:szCs w:val="24"/>
    </w:rPr>
  </w:style>
  <w:style w:type="paragraph" w:styleId="NormalWeb">
    <w:name w:val="Normal (Web)"/>
    <w:basedOn w:val="Normal"/>
    <w:uiPriority w:val="99"/>
    <w:unhideWhenUsed/>
    <w:rsid w:val="00E25D5F"/>
    <w:pPr>
      <w:spacing w:before="100" w:beforeAutospacing="1" w:after="100" w:afterAutospacing="1"/>
    </w:pPr>
    <w:rPr>
      <w:rFonts w:ascii="Times New Roman" w:eastAsia="Times New Roman" w:hAnsi="Times New Roman" w:cs="Times New Roman"/>
      <w:szCs w:val="24"/>
    </w:rPr>
  </w:style>
  <w:style w:type="character" w:customStyle="1" w:styleId="ps-gls">
    <w:name w:val="ps-gls"/>
    <w:basedOn w:val="DefaultParagraphFont"/>
    <w:rsid w:val="00E25D5F"/>
  </w:style>
  <w:style w:type="character" w:customStyle="1" w:styleId="pol-cla-id">
    <w:name w:val="pol-cla-id"/>
    <w:basedOn w:val="DefaultParagraphFont"/>
    <w:rsid w:val="00E25D5F"/>
  </w:style>
  <w:style w:type="paragraph" w:customStyle="1" w:styleId="paragraph">
    <w:name w:val="paragraph"/>
    <w:basedOn w:val="Normal"/>
    <w:rsid w:val="008D3F92"/>
    <w:pPr>
      <w:spacing w:before="100" w:beforeAutospacing="1" w:after="100" w:afterAutospacing="1"/>
    </w:pPr>
    <w:rPr>
      <w:rFonts w:ascii="Times New Roman" w:eastAsia="Times New Roman" w:hAnsi="Times New Roman" w:cs="Times New Roman"/>
      <w:szCs w:val="24"/>
      <w:lang w:val="en-CA" w:eastAsia="en-CA"/>
    </w:rPr>
  </w:style>
  <w:style w:type="character" w:customStyle="1" w:styleId="normaltextrun">
    <w:name w:val="normaltextrun"/>
    <w:basedOn w:val="DefaultParagraphFont"/>
    <w:rsid w:val="008D3F92"/>
  </w:style>
  <w:style w:type="character" w:customStyle="1" w:styleId="ui-provider">
    <w:name w:val="ui-provider"/>
    <w:basedOn w:val="DefaultParagraphFont"/>
    <w:rsid w:val="004F35EF"/>
  </w:style>
  <w:style w:type="paragraph" w:styleId="Revision">
    <w:name w:val="Revision"/>
    <w:hidden/>
    <w:uiPriority w:val="99"/>
    <w:semiHidden/>
    <w:rsid w:val="004F35EF"/>
    <w:pPr>
      <w:spacing w:after="0" w:line="240" w:lineRule="auto"/>
    </w:pPr>
    <w:rPr>
      <w:rFonts w:ascii="Arial" w:hAnsi="Arial"/>
      <w:sz w:val="24"/>
    </w:rPr>
  </w:style>
  <w:style w:type="paragraph" w:customStyle="1" w:styleId="pf0">
    <w:name w:val="pf0"/>
    <w:basedOn w:val="Normal"/>
    <w:rsid w:val="00CF18EF"/>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3D752C"/>
    <w:rPr>
      <w:rFonts w:asciiTheme="minorHAnsi" w:hAnsiTheme="minorHAnsi"/>
      <w:b/>
      <w:bCs/>
    </w:rPr>
  </w:style>
  <w:style w:type="paragraph" w:styleId="FootnoteText">
    <w:name w:val="footnote text"/>
    <w:basedOn w:val="Normal"/>
    <w:link w:val="FootnoteTextChar"/>
    <w:uiPriority w:val="99"/>
    <w:semiHidden/>
    <w:unhideWhenUsed/>
    <w:rsid w:val="00DE3985"/>
    <w:pPr>
      <w:spacing w:after="0"/>
    </w:pPr>
    <w:rPr>
      <w:sz w:val="20"/>
      <w:szCs w:val="20"/>
    </w:rPr>
  </w:style>
  <w:style w:type="character" w:customStyle="1" w:styleId="FootnoteTextChar">
    <w:name w:val="Footnote Text Char"/>
    <w:basedOn w:val="DefaultParagraphFont"/>
    <w:link w:val="FootnoteText"/>
    <w:uiPriority w:val="99"/>
    <w:semiHidden/>
    <w:rsid w:val="00DE3985"/>
    <w:rPr>
      <w:rFonts w:ascii="Arial" w:hAnsi="Arial"/>
      <w:sz w:val="20"/>
      <w:szCs w:val="20"/>
    </w:rPr>
  </w:style>
  <w:style w:type="character" w:styleId="FootnoteReference">
    <w:name w:val="footnote reference"/>
    <w:basedOn w:val="DefaultParagraphFont"/>
    <w:uiPriority w:val="99"/>
    <w:semiHidden/>
    <w:unhideWhenUsed/>
    <w:rsid w:val="00DE3985"/>
    <w:rPr>
      <w:vertAlign w:val="superscript"/>
    </w:rPr>
  </w:style>
  <w:style w:type="paragraph" w:customStyle="1" w:styleId="msipheader8feb6431">
    <w:name w:val="msipheader8feb6431"/>
    <w:basedOn w:val="Normal"/>
    <w:rsid w:val="004A4AA4"/>
    <w:pPr>
      <w:spacing w:before="100" w:beforeAutospacing="1" w:after="100" w:afterAutospacing="1"/>
    </w:pPr>
    <w:rPr>
      <w:rFonts w:ascii="Calibri" w:hAnsi="Calibri" w:cs="Calibri"/>
      <w:sz w:val="22"/>
    </w:rPr>
  </w:style>
  <w:style w:type="character" w:styleId="FollowedHyperlink">
    <w:name w:val="FollowedHyperlink"/>
    <w:basedOn w:val="DefaultParagraphFont"/>
    <w:uiPriority w:val="99"/>
    <w:semiHidden/>
    <w:unhideWhenUsed/>
    <w:rsid w:val="00671220"/>
    <w:rPr>
      <w:color w:val="954F72" w:themeColor="followedHyperlink"/>
      <w:u w:val="single"/>
    </w:rPr>
  </w:style>
  <w:style w:type="character" w:customStyle="1" w:styleId="eop">
    <w:name w:val="eop"/>
    <w:basedOn w:val="DefaultParagraphFont"/>
    <w:rsid w:val="00E15F52"/>
  </w:style>
  <w:style w:type="paragraph" w:customStyle="1" w:styleId="Default">
    <w:name w:val="Default"/>
    <w:rsid w:val="0053673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f11">
    <w:name w:val="cf11"/>
    <w:basedOn w:val="DefaultParagraphFont"/>
    <w:rsid w:val="00A84C5C"/>
    <w:rPr>
      <w:rFonts w:ascii="Segoe UI" w:hAnsi="Segoe UI" w:cs="Segoe UI" w:hint="default"/>
    </w:rPr>
  </w:style>
  <w:style w:type="paragraph" w:customStyle="1" w:styleId="Indentquote">
    <w:name w:val="Indent quote"/>
    <w:basedOn w:val="Normal"/>
    <w:link w:val="IndentquoteChar"/>
    <w:qFormat/>
    <w:rsid w:val="00ED35B7"/>
    <w:pPr>
      <w:ind w:left="720"/>
    </w:pPr>
  </w:style>
  <w:style w:type="character" w:customStyle="1" w:styleId="IndentquoteChar">
    <w:name w:val="Indent quote Char"/>
    <w:basedOn w:val="DefaultParagraphFont"/>
    <w:link w:val="Indentquote"/>
    <w:rsid w:val="00ED35B7"/>
    <w:rPr>
      <w:rFonts w:ascii="Arial" w:hAnsi="Arial"/>
      <w:sz w:val="24"/>
    </w:rPr>
  </w:style>
  <w:style w:type="character" w:styleId="Mention">
    <w:name w:val="Mention"/>
    <w:basedOn w:val="DefaultParagraphFont"/>
    <w:uiPriority w:val="99"/>
    <w:unhideWhenUsed/>
    <w:rsid w:val="008F1DF4"/>
    <w:rPr>
      <w:color w:val="2B579A"/>
      <w:shd w:val="clear" w:color="auto" w:fill="E1DFDD"/>
    </w:rPr>
  </w:style>
  <w:style w:type="paragraph" w:styleId="TOCHeading">
    <w:name w:val="TOC Heading"/>
    <w:basedOn w:val="Heading1"/>
    <w:next w:val="Normal"/>
    <w:uiPriority w:val="39"/>
    <w:unhideWhenUsed/>
    <w:qFormat/>
    <w:rsid w:val="00A70FF5"/>
    <w:pPr>
      <w:spacing w:before="240" w:after="0" w:line="259" w:lineRule="auto"/>
      <w:outlineLvl w:val="9"/>
    </w:pPr>
  </w:style>
  <w:style w:type="paragraph" w:styleId="TOC1">
    <w:name w:val="toc 1"/>
    <w:basedOn w:val="Normal"/>
    <w:next w:val="Normal"/>
    <w:autoRedefine/>
    <w:uiPriority w:val="39"/>
    <w:unhideWhenUsed/>
    <w:rsid w:val="003D741F"/>
    <w:pPr>
      <w:tabs>
        <w:tab w:val="right" w:leader="dot" w:pos="9350"/>
      </w:tabs>
      <w:spacing w:after="100"/>
    </w:pPr>
  </w:style>
  <w:style w:type="paragraph" w:styleId="TOC2">
    <w:name w:val="toc 2"/>
    <w:basedOn w:val="Normal"/>
    <w:next w:val="Normal"/>
    <w:autoRedefine/>
    <w:uiPriority w:val="39"/>
    <w:unhideWhenUsed/>
    <w:rsid w:val="00A70FF5"/>
    <w:pPr>
      <w:spacing w:after="100"/>
      <w:ind w:left="240"/>
    </w:pPr>
  </w:style>
  <w:style w:type="paragraph" w:styleId="TOC3">
    <w:name w:val="toc 3"/>
    <w:basedOn w:val="Normal"/>
    <w:next w:val="Normal"/>
    <w:autoRedefine/>
    <w:uiPriority w:val="39"/>
    <w:unhideWhenUsed/>
    <w:rsid w:val="00A70FF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84373">
      <w:bodyDiv w:val="1"/>
      <w:marLeft w:val="0"/>
      <w:marRight w:val="0"/>
      <w:marTop w:val="0"/>
      <w:marBottom w:val="0"/>
      <w:divBdr>
        <w:top w:val="none" w:sz="0" w:space="0" w:color="auto"/>
        <w:left w:val="none" w:sz="0" w:space="0" w:color="auto"/>
        <w:bottom w:val="none" w:sz="0" w:space="0" w:color="auto"/>
        <w:right w:val="none" w:sz="0" w:space="0" w:color="auto"/>
      </w:divBdr>
    </w:div>
    <w:div w:id="76369299">
      <w:bodyDiv w:val="1"/>
      <w:marLeft w:val="0"/>
      <w:marRight w:val="0"/>
      <w:marTop w:val="0"/>
      <w:marBottom w:val="0"/>
      <w:divBdr>
        <w:top w:val="none" w:sz="0" w:space="0" w:color="auto"/>
        <w:left w:val="none" w:sz="0" w:space="0" w:color="auto"/>
        <w:bottom w:val="none" w:sz="0" w:space="0" w:color="auto"/>
        <w:right w:val="none" w:sz="0" w:space="0" w:color="auto"/>
      </w:divBdr>
      <w:divsChild>
        <w:div w:id="201721519">
          <w:marLeft w:val="1800"/>
          <w:marRight w:val="0"/>
          <w:marTop w:val="100"/>
          <w:marBottom w:val="0"/>
          <w:divBdr>
            <w:top w:val="none" w:sz="0" w:space="0" w:color="auto"/>
            <w:left w:val="none" w:sz="0" w:space="0" w:color="auto"/>
            <w:bottom w:val="none" w:sz="0" w:space="0" w:color="auto"/>
            <w:right w:val="none" w:sz="0" w:space="0" w:color="auto"/>
          </w:divBdr>
        </w:div>
        <w:div w:id="1596792398">
          <w:marLeft w:val="1080"/>
          <w:marRight w:val="0"/>
          <w:marTop w:val="100"/>
          <w:marBottom w:val="0"/>
          <w:divBdr>
            <w:top w:val="none" w:sz="0" w:space="0" w:color="auto"/>
            <w:left w:val="none" w:sz="0" w:space="0" w:color="auto"/>
            <w:bottom w:val="none" w:sz="0" w:space="0" w:color="auto"/>
            <w:right w:val="none" w:sz="0" w:space="0" w:color="auto"/>
          </w:divBdr>
        </w:div>
        <w:div w:id="1605840561">
          <w:marLeft w:val="1800"/>
          <w:marRight w:val="0"/>
          <w:marTop w:val="100"/>
          <w:marBottom w:val="0"/>
          <w:divBdr>
            <w:top w:val="none" w:sz="0" w:space="0" w:color="auto"/>
            <w:left w:val="none" w:sz="0" w:space="0" w:color="auto"/>
            <w:bottom w:val="none" w:sz="0" w:space="0" w:color="auto"/>
            <w:right w:val="none" w:sz="0" w:space="0" w:color="auto"/>
          </w:divBdr>
        </w:div>
      </w:divsChild>
    </w:div>
    <w:div w:id="124932183">
      <w:bodyDiv w:val="1"/>
      <w:marLeft w:val="0"/>
      <w:marRight w:val="0"/>
      <w:marTop w:val="0"/>
      <w:marBottom w:val="0"/>
      <w:divBdr>
        <w:top w:val="none" w:sz="0" w:space="0" w:color="auto"/>
        <w:left w:val="none" w:sz="0" w:space="0" w:color="auto"/>
        <w:bottom w:val="none" w:sz="0" w:space="0" w:color="auto"/>
        <w:right w:val="none" w:sz="0" w:space="0" w:color="auto"/>
      </w:divBdr>
    </w:div>
    <w:div w:id="134642537">
      <w:bodyDiv w:val="1"/>
      <w:marLeft w:val="0"/>
      <w:marRight w:val="0"/>
      <w:marTop w:val="0"/>
      <w:marBottom w:val="0"/>
      <w:divBdr>
        <w:top w:val="none" w:sz="0" w:space="0" w:color="auto"/>
        <w:left w:val="none" w:sz="0" w:space="0" w:color="auto"/>
        <w:bottom w:val="none" w:sz="0" w:space="0" w:color="auto"/>
        <w:right w:val="none" w:sz="0" w:space="0" w:color="auto"/>
      </w:divBdr>
    </w:div>
    <w:div w:id="224266053">
      <w:bodyDiv w:val="1"/>
      <w:marLeft w:val="0"/>
      <w:marRight w:val="0"/>
      <w:marTop w:val="0"/>
      <w:marBottom w:val="0"/>
      <w:divBdr>
        <w:top w:val="none" w:sz="0" w:space="0" w:color="auto"/>
        <w:left w:val="none" w:sz="0" w:space="0" w:color="auto"/>
        <w:bottom w:val="none" w:sz="0" w:space="0" w:color="auto"/>
        <w:right w:val="none" w:sz="0" w:space="0" w:color="auto"/>
      </w:divBdr>
    </w:div>
    <w:div w:id="261687024">
      <w:bodyDiv w:val="1"/>
      <w:marLeft w:val="0"/>
      <w:marRight w:val="0"/>
      <w:marTop w:val="0"/>
      <w:marBottom w:val="0"/>
      <w:divBdr>
        <w:top w:val="none" w:sz="0" w:space="0" w:color="auto"/>
        <w:left w:val="none" w:sz="0" w:space="0" w:color="auto"/>
        <w:bottom w:val="none" w:sz="0" w:space="0" w:color="auto"/>
        <w:right w:val="none" w:sz="0" w:space="0" w:color="auto"/>
      </w:divBdr>
    </w:div>
    <w:div w:id="326985544">
      <w:bodyDiv w:val="1"/>
      <w:marLeft w:val="0"/>
      <w:marRight w:val="0"/>
      <w:marTop w:val="0"/>
      <w:marBottom w:val="0"/>
      <w:divBdr>
        <w:top w:val="none" w:sz="0" w:space="0" w:color="auto"/>
        <w:left w:val="none" w:sz="0" w:space="0" w:color="auto"/>
        <w:bottom w:val="none" w:sz="0" w:space="0" w:color="auto"/>
        <w:right w:val="none" w:sz="0" w:space="0" w:color="auto"/>
      </w:divBdr>
    </w:div>
    <w:div w:id="333149927">
      <w:bodyDiv w:val="1"/>
      <w:marLeft w:val="0"/>
      <w:marRight w:val="0"/>
      <w:marTop w:val="0"/>
      <w:marBottom w:val="0"/>
      <w:divBdr>
        <w:top w:val="none" w:sz="0" w:space="0" w:color="auto"/>
        <w:left w:val="none" w:sz="0" w:space="0" w:color="auto"/>
        <w:bottom w:val="none" w:sz="0" w:space="0" w:color="auto"/>
        <w:right w:val="none" w:sz="0" w:space="0" w:color="auto"/>
      </w:divBdr>
    </w:div>
    <w:div w:id="362482408">
      <w:bodyDiv w:val="1"/>
      <w:marLeft w:val="0"/>
      <w:marRight w:val="0"/>
      <w:marTop w:val="0"/>
      <w:marBottom w:val="0"/>
      <w:divBdr>
        <w:top w:val="none" w:sz="0" w:space="0" w:color="auto"/>
        <w:left w:val="none" w:sz="0" w:space="0" w:color="auto"/>
        <w:bottom w:val="none" w:sz="0" w:space="0" w:color="auto"/>
        <w:right w:val="none" w:sz="0" w:space="0" w:color="auto"/>
      </w:divBdr>
    </w:div>
    <w:div w:id="584267318">
      <w:bodyDiv w:val="1"/>
      <w:marLeft w:val="0"/>
      <w:marRight w:val="0"/>
      <w:marTop w:val="0"/>
      <w:marBottom w:val="0"/>
      <w:divBdr>
        <w:top w:val="none" w:sz="0" w:space="0" w:color="auto"/>
        <w:left w:val="none" w:sz="0" w:space="0" w:color="auto"/>
        <w:bottom w:val="none" w:sz="0" w:space="0" w:color="auto"/>
        <w:right w:val="none" w:sz="0" w:space="0" w:color="auto"/>
      </w:divBdr>
    </w:div>
    <w:div w:id="614026229">
      <w:bodyDiv w:val="1"/>
      <w:marLeft w:val="0"/>
      <w:marRight w:val="0"/>
      <w:marTop w:val="0"/>
      <w:marBottom w:val="0"/>
      <w:divBdr>
        <w:top w:val="none" w:sz="0" w:space="0" w:color="auto"/>
        <w:left w:val="none" w:sz="0" w:space="0" w:color="auto"/>
        <w:bottom w:val="none" w:sz="0" w:space="0" w:color="auto"/>
        <w:right w:val="none" w:sz="0" w:space="0" w:color="auto"/>
      </w:divBdr>
    </w:div>
    <w:div w:id="732583820">
      <w:bodyDiv w:val="1"/>
      <w:marLeft w:val="0"/>
      <w:marRight w:val="0"/>
      <w:marTop w:val="0"/>
      <w:marBottom w:val="0"/>
      <w:divBdr>
        <w:top w:val="none" w:sz="0" w:space="0" w:color="auto"/>
        <w:left w:val="none" w:sz="0" w:space="0" w:color="auto"/>
        <w:bottom w:val="none" w:sz="0" w:space="0" w:color="auto"/>
        <w:right w:val="none" w:sz="0" w:space="0" w:color="auto"/>
      </w:divBdr>
    </w:div>
    <w:div w:id="734428445">
      <w:bodyDiv w:val="1"/>
      <w:marLeft w:val="0"/>
      <w:marRight w:val="0"/>
      <w:marTop w:val="0"/>
      <w:marBottom w:val="0"/>
      <w:divBdr>
        <w:top w:val="none" w:sz="0" w:space="0" w:color="auto"/>
        <w:left w:val="none" w:sz="0" w:space="0" w:color="auto"/>
        <w:bottom w:val="none" w:sz="0" w:space="0" w:color="auto"/>
        <w:right w:val="none" w:sz="0" w:space="0" w:color="auto"/>
      </w:divBdr>
    </w:div>
    <w:div w:id="766314170">
      <w:bodyDiv w:val="1"/>
      <w:marLeft w:val="0"/>
      <w:marRight w:val="0"/>
      <w:marTop w:val="0"/>
      <w:marBottom w:val="0"/>
      <w:divBdr>
        <w:top w:val="none" w:sz="0" w:space="0" w:color="auto"/>
        <w:left w:val="none" w:sz="0" w:space="0" w:color="auto"/>
        <w:bottom w:val="none" w:sz="0" w:space="0" w:color="auto"/>
        <w:right w:val="none" w:sz="0" w:space="0" w:color="auto"/>
      </w:divBdr>
    </w:div>
    <w:div w:id="819881958">
      <w:bodyDiv w:val="1"/>
      <w:marLeft w:val="0"/>
      <w:marRight w:val="0"/>
      <w:marTop w:val="0"/>
      <w:marBottom w:val="0"/>
      <w:divBdr>
        <w:top w:val="none" w:sz="0" w:space="0" w:color="auto"/>
        <w:left w:val="none" w:sz="0" w:space="0" w:color="auto"/>
        <w:bottom w:val="none" w:sz="0" w:space="0" w:color="auto"/>
        <w:right w:val="none" w:sz="0" w:space="0" w:color="auto"/>
      </w:divBdr>
    </w:div>
    <w:div w:id="940337010">
      <w:bodyDiv w:val="1"/>
      <w:marLeft w:val="0"/>
      <w:marRight w:val="0"/>
      <w:marTop w:val="0"/>
      <w:marBottom w:val="0"/>
      <w:divBdr>
        <w:top w:val="none" w:sz="0" w:space="0" w:color="auto"/>
        <w:left w:val="none" w:sz="0" w:space="0" w:color="auto"/>
        <w:bottom w:val="none" w:sz="0" w:space="0" w:color="auto"/>
        <w:right w:val="none" w:sz="0" w:space="0" w:color="auto"/>
      </w:divBdr>
    </w:div>
    <w:div w:id="988558433">
      <w:bodyDiv w:val="1"/>
      <w:marLeft w:val="0"/>
      <w:marRight w:val="0"/>
      <w:marTop w:val="0"/>
      <w:marBottom w:val="0"/>
      <w:divBdr>
        <w:top w:val="none" w:sz="0" w:space="0" w:color="auto"/>
        <w:left w:val="none" w:sz="0" w:space="0" w:color="auto"/>
        <w:bottom w:val="none" w:sz="0" w:space="0" w:color="auto"/>
        <w:right w:val="none" w:sz="0" w:space="0" w:color="auto"/>
      </w:divBdr>
    </w:div>
    <w:div w:id="1098718877">
      <w:bodyDiv w:val="1"/>
      <w:marLeft w:val="0"/>
      <w:marRight w:val="0"/>
      <w:marTop w:val="0"/>
      <w:marBottom w:val="0"/>
      <w:divBdr>
        <w:top w:val="none" w:sz="0" w:space="0" w:color="auto"/>
        <w:left w:val="none" w:sz="0" w:space="0" w:color="auto"/>
        <w:bottom w:val="none" w:sz="0" w:space="0" w:color="auto"/>
        <w:right w:val="none" w:sz="0" w:space="0" w:color="auto"/>
      </w:divBdr>
    </w:div>
    <w:div w:id="1111583632">
      <w:bodyDiv w:val="1"/>
      <w:marLeft w:val="0"/>
      <w:marRight w:val="0"/>
      <w:marTop w:val="0"/>
      <w:marBottom w:val="0"/>
      <w:divBdr>
        <w:top w:val="none" w:sz="0" w:space="0" w:color="auto"/>
        <w:left w:val="none" w:sz="0" w:space="0" w:color="auto"/>
        <w:bottom w:val="none" w:sz="0" w:space="0" w:color="auto"/>
        <w:right w:val="none" w:sz="0" w:space="0" w:color="auto"/>
      </w:divBdr>
    </w:div>
    <w:div w:id="1194882599">
      <w:bodyDiv w:val="1"/>
      <w:marLeft w:val="0"/>
      <w:marRight w:val="0"/>
      <w:marTop w:val="0"/>
      <w:marBottom w:val="0"/>
      <w:divBdr>
        <w:top w:val="none" w:sz="0" w:space="0" w:color="auto"/>
        <w:left w:val="none" w:sz="0" w:space="0" w:color="auto"/>
        <w:bottom w:val="none" w:sz="0" w:space="0" w:color="auto"/>
        <w:right w:val="none" w:sz="0" w:space="0" w:color="auto"/>
      </w:divBdr>
    </w:div>
    <w:div w:id="1208028207">
      <w:bodyDiv w:val="1"/>
      <w:marLeft w:val="0"/>
      <w:marRight w:val="0"/>
      <w:marTop w:val="0"/>
      <w:marBottom w:val="0"/>
      <w:divBdr>
        <w:top w:val="none" w:sz="0" w:space="0" w:color="auto"/>
        <w:left w:val="none" w:sz="0" w:space="0" w:color="auto"/>
        <w:bottom w:val="none" w:sz="0" w:space="0" w:color="auto"/>
        <w:right w:val="none" w:sz="0" w:space="0" w:color="auto"/>
      </w:divBdr>
    </w:div>
    <w:div w:id="1235312847">
      <w:bodyDiv w:val="1"/>
      <w:marLeft w:val="0"/>
      <w:marRight w:val="0"/>
      <w:marTop w:val="0"/>
      <w:marBottom w:val="0"/>
      <w:divBdr>
        <w:top w:val="none" w:sz="0" w:space="0" w:color="auto"/>
        <w:left w:val="none" w:sz="0" w:space="0" w:color="auto"/>
        <w:bottom w:val="none" w:sz="0" w:space="0" w:color="auto"/>
        <w:right w:val="none" w:sz="0" w:space="0" w:color="auto"/>
      </w:divBdr>
    </w:div>
    <w:div w:id="1269122646">
      <w:bodyDiv w:val="1"/>
      <w:marLeft w:val="0"/>
      <w:marRight w:val="0"/>
      <w:marTop w:val="0"/>
      <w:marBottom w:val="0"/>
      <w:divBdr>
        <w:top w:val="none" w:sz="0" w:space="0" w:color="auto"/>
        <w:left w:val="none" w:sz="0" w:space="0" w:color="auto"/>
        <w:bottom w:val="none" w:sz="0" w:space="0" w:color="auto"/>
        <w:right w:val="none" w:sz="0" w:space="0" w:color="auto"/>
      </w:divBdr>
    </w:div>
    <w:div w:id="1270316692">
      <w:bodyDiv w:val="1"/>
      <w:marLeft w:val="0"/>
      <w:marRight w:val="0"/>
      <w:marTop w:val="0"/>
      <w:marBottom w:val="0"/>
      <w:divBdr>
        <w:top w:val="none" w:sz="0" w:space="0" w:color="auto"/>
        <w:left w:val="none" w:sz="0" w:space="0" w:color="auto"/>
        <w:bottom w:val="none" w:sz="0" w:space="0" w:color="auto"/>
        <w:right w:val="none" w:sz="0" w:space="0" w:color="auto"/>
      </w:divBdr>
    </w:div>
    <w:div w:id="1285848994">
      <w:bodyDiv w:val="1"/>
      <w:marLeft w:val="0"/>
      <w:marRight w:val="0"/>
      <w:marTop w:val="0"/>
      <w:marBottom w:val="0"/>
      <w:divBdr>
        <w:top w:val="none" w:sz="0" w:space="0" w:color="auto"/>
        <w:left w:val="none" w:sz="0" w:space="0" w:color="auto"/>
        <w:bottom w:val="none" w:sz="0" w:space="0" w:color="auto"/>
        <w:right w:val="none" w:sz="0" w:space="0" w:color="auto"/>
      </w:divBdr>
    </w:div>
    <w:div w:id="1291595422">
      <w:bodyDiv w:val="1"/>
      <w:marLeft w:val="0"/>
      <w:marRight w:val="0"/>
      <w:marTop w:val="0"/>
      <w:marBottom w:val="0"/>
      <w:divBdr>
        <w:top w:val="none" w:sz="0" w:space="0" w:color="auto"/>
        <w:left w:val="none" w:sz="0" w:space="0" w:color="auto"/>
        <w:bottom w:val="none" w:sz="0" w:space="0" w:color="auto"/>
        <w:right w:val="none" w:sz="0" w:space="0" w:color="auto"/>
      </w:divBdr>
    </w:div>
    <w:div w:id="1452087318">
      <w:bodyDiv w:val="1"/>
      <w:marLeft w:val="0"/>
      <w:marRight w:val="0"/>
      <w:marTop w:val="0"/>
      <w:marBottom w:val="0"/>
      <w:divBdr>
        <w:top w:val="none" w:sz="0" w:space="0" w:color="auto"/>
        <w:left w:val="none" w:sz="0" w:space="0" w:color="auto"/>
        <w:bottom w:val="none" w:sz="0" w:space="0" w:color="auto"/>
        <w:right w:val="none" w:sz="0" w:space="0" w:color="auto"/>
      </w:divBdr>
    </w:div>
    <w:div w:id="1482036730">
      <w:bodyDiv w:val="1"/>
      <w:marLeft w:val="0"/>
      <w:marRight w:val="0"/>
      <w:marTop w:val="0"/>
      <w:marBottom w:val="0"/>
      <w:divBdr>
        <w:top w:val="none" w:sz="0" w:space="0" w:color="auto"/>
        <w:left w:val="none" w:sz="0" w:space="0" w:color="auto"/>
        <w:bottom w:val="none" w:sz="0" w:space="0" w:color="auto"/>
        <w:right w:val="none" w:sz="0" w:space="0" w:color="auto"/>
      </w:divBdr>
    </w:div>
    <w:div w:id="1506088555">
      <w:bodyDiv w:val="1"/>
      <w:marLeft w:val="0"/>
      <w:marRight w:val="0"/>
      <w:marTop w:val="0"/>
      <w:marBottom w:val="0"/>
      <w:divBdr>
        <w:top w:val="none" w:sz="0" w:space="0" w:color="auto"/>
        <w:left w:val="none" w:sz="0" w:space="0" w:color="auto"/>
        <w:bottom w:val="none" w:sz="0" w:space="0" w:color="auto"/>
        <w:right w:val="none" w:sz="0" w:space="0" w:color="auto"/>
      </w:divBdr>
    </w:div>
    <w:div w:id="1525361219">
      <w:bodyDiv w:val="1"/>
      <w:marLeft w:val="0"/>
      <w:marRight w:val="0"/>
      <w:marTop w:val="0"/>
      <w:marBottom w:val="0"/>
      <w:divBdr>
        <w:top w:val="none" w:sz="0" w:space="0" w:color="auto"/>
        <w:left w:val="none" w:sz="0" w:space="0" w:color="auto"/>
        <w:bottom w:val="none" w:sz="0" w:space="0" w:color="auto"/>
        <w:right w:val="none" w:sz="0" w:space="0" w:color="auto"/>
      </w:divBdr>
    </w:div>
    <w:div w:id="1606499971">
      <w:bodyDiv w:val="1"/>
      <w:marLeft w:val="0"/>
      <w:marRight w:val="0"/>
      <w:marTop w:val="0"/>
      <w:marBottom w:val="0"/>
      <w:divBdr>
        <w:top w:val="none" w:sz="0" w:space="0" w:color="auto"/>
        <w:left w:val="none" w:sz="0" w:space="0" w:color="auto"/>
        <w:bottom w:val="none" w:sz="0" w:space="0" w:color="auto"/>
        <w:right w:val="none" w:sz="0" w:space="0" w:color="auto"/>
      </w:divBdr>
    </w:div>
    <w:div w:id="1627392288">
      <w:bodyDiv w:val="1"/>
      <w:marLeft w:val="0"/>
      <w:marRight w:val="0"/>
      <w:marTop w:val="0"/>
      <w:marBottom w:val="0"/>
      <w:divBdr>
        <w:top w:val="none" w:sz="0" w:space="0" w:color="auto"/>
        <w:left w:val="none" w:sz="0" w:space="0" w:color="auto"/>
        <w:bottom w:val="none" w:sz="0" w:space="0" w:color="auto"/>
        <w:right w:val="none" w:sz="0" w:space="0" w:color="auto"/>
      </w:divBdr>
    </w:div>
    <w:div w:id="1653561276">
      <w:bodyDiv w:val="1"/>
      <w:marLeft w:val="0"/>
      <w:marRight w:val="0"/>
      <w:marTop w:val="0"/>
      <w:marBottom w:val="0"/>
      <w:divBdr>
        <w:top w:val="none" w:sz="0" w:space="0" w:color="auto"/>
        <w:left w:val="none" w:sz="0" w:space="0" w:color="auto"/>
        <w:bottom w:val="none" w:sz="0" w:space="0" w:color="auto"/>
        <w:right w:val="none" w:sz="0" w:space="0" w:color="auto"/>
      </w:divBdr>
    </w:div>
    <w:div w:id="1674988676">
      <w:bodyDiv w:val="1"/>
      <w:marLeft w:val="0"/>
      <w:marRight w:val="0"/>
      <w:marTop w:val="0"/>
      <w:marBottom w:val="0"/>
      <w:divBdr>
        <w:top w:val="none" w:sz="0" w:space="0" w:color="auto"/>
        <w:left w:val="none" w:sz="0" w:space="0" w:color="auto"/>
        <w:bottom w:val="none" w:sz="0" w:space="0" w:color="auto"/>
        <w:right w:val="none" w:sz="0" w:space="0" w:color="auto"/>
      </w:divBdr>
    </w:div>
    <w:div w:id="1702318383">
      <w:bodyDiv w:val="1"/>
      <w:marLeft w:val="0"/>
      <w:marRight w:val="0"/>
      <w:marTop w:val="0"/>
      <w:marBottom w:val="0"/>
      <w:divBdr>
        <w:top w:val="none" w:sz="0" w:space="0" w:color="auto"/>
        <w:left w:val="none" w:sz="0" w:space="0" w:color="auto"/>
        <w:bottom w:val="none" w:sz="0" w:space="0" w:color="auto"/>
        <w:right w:val="none" w:sz="0" w:space="0" w:color="auto"/>
      </w:divBdr>
    </w:div>
    <w:div w:id="1732463123">
      <w:bodyDiv w:val="1"/>
      <w:marLeft w:val="0"/>
      <w:marRight w:val="0"/>
      <w:marTop w:val="0"/>
      <w:marBottom w:val="0"/>
      <w:divBdr>
        <w:top w:val="none" w:sz="0" w:space="0" w:color="auto"/>
        <w:left w:val="none" w:sz="0" w:space="0" w:color="auto"/>
        <w:bottom w:val="none" w:sz="0" w:space="0" w:color="auto"/>
        <w:right w:val="none" w:sz="0" w:space="0" w:color="auto"/>
      </w:divBdr>
    </w:div>
    <w:div w:id="1820613086">
      <w:bodyDiv w:val="1"/>
      <w:marLeft w:val="0"/>
      <w:marRight w:val="0"/>
      <w:marTop w:val="0"/>
      <w:marBottom w:val="0"/>
      <w:divBdr>
        <w:top w:val="none" w:sz="0" w:space="0" w:color="auto"/>
        <w:left w:val="none" w:sz="0" w:space="0" w:color="auto"/>
        <w:bottom w:val="none" w:sz="0" w:space="0" w:color="auto"/>
        <w:right w:val="none" w:sz="0" w:space="0" w:color="auto"/>
      </w:divBdr>
    </w:div>
    <w:div w:id="1880780729">
      <w:bodyDiv w:val="1"/>
      <w:marLeft w:val="0"/>
      <w:marRight w:val="0"/>
      <w:marTop w:val="0"/>
      <w:marBottom w:val="0"/>
      <w:divBdr>
        <w:top w:val="none" w:sz="0" w:space="0" w:color="auto"/>
        <w:left w:val="none" w:sz="0" w:space="0" w:color="auto"/>
        <w:bottom w:val="none" w:sz="0" w:space="0" w:color="auto"/>
        <w:right w:val="none" w:sz="0" w:space="0" w:color="auto"/>
      </w:divBdr>
    </w:div>
    <w:div w:id="1961952789">
      <w:bodyDiv w:val="1"/>
      <w:marLeft w:val="0"/>
      <w:marRight w:val="0"/>
      <w:marTop w:val="0"/>
      <w:marBottom w:val="0"/>
      <w:divBdr>
        <w:top w:val="none" w:sz="0" w:space="0" w:color="auto"/>
        <w:left w:val="none" w:sz="0" w:space="0" w:color="auto"/>
        <w:bottom w:val="none" w:sz="0" w:space="0" w:color="auto"/>
        <w:right w:val="none" w:sz="0" w:space="0" w:color="auto"/>
      </w:divBdr>
    </w:div>
    <w:div w:id="1975525327">
      <w:bodyDiv w:val="1"/>
      <w:marLeft w:val="0"/>
      <w:marRight w:val="0"/>
      <w:marTop w:val="0"/>
      <w:marBottom w:val="0"/>
      <w:divBdr>
        <w:top w:val="none" w:sz="0" w:space="0" w:color="auto"/>
        <w:left w:val="none" w:sz="0" w:space="0" w:color="auto"/>
        <w:bottom w:val="none" w:sz="0" w:space="0" w:color="auto"/>
        <w:right w:val="none" w:sz="0" w:space="0" w:color="auto"/>
      </w:divBdr>
    </w:div>
    <w:div w:id="1990792536">
      <w:bodyDiv w:val="1"/>
      <w:marLeft w:val="0"/>
      <w:marRight w:val="0"/>
      <w:marTop w:val="0"/>
      <w:marBottom w:val="0"/>
      <w:divBdr>
        <w:top w:val="none" w:sz="0" w:space="0" w:color="auto"/>
        <w:left w:val="none" w:sz="0" w:space="0" w:color="auto"/>
        <w:bottom w:val="none" w:sz="0" w:space="0" w:color="auto"/>
        <w:right w:val="none" w:sz="0" w:space="0" w:color="auto"/>
      </w:divBdr>
    </w:div>
    <w:div w:id="2040154537">
      <w:bodyDiv w:val="1"/>
      <w:marLeft w:val="0"/>
      <w:marRight w:val="0"/>
      <w:marTop w:val="0"/>
      <w:marBottom w:val="0"/>
      <w:divBdr>
        <w:top w:val="none" w:sz="0" w:space="0" w:color="auto"/>
        <w:left w:val="none" w:sz="0" w:space="0" w:color="auto"/>
        <w:bottom w:val="none" w:sz="0" w:space="0" w:color="auto"/>
        <w:right w:val="none" w:sz="0" w:space="0" w:color="auto"/>
      </w:divBdr>
    </w:div>
    <w:div w:id="2050449265">
      <w:bodyDiv w:val="1"/>
      <w:marLeft w:val="0"/>
      <w:marRight w:val="0"/>
      <w:marTop w:val="0"/>
      <w:marBottom w:val="0"/>
      <w:divBdr>
        <w:top w:val="none" w:sz="0" w:space="0" w:color="auto"/>
        <w:left w:val="none" w:sz="0" w:space="0" w:color="auto"/>
        <w:bottom w:val="none" w:sz="0" w:space="0" w:color="auto"/>
        <w:right w:val="none" w:sz="0" w:space="0" w:color="auto"/>
      </w:divBdr>
    </w:div>
    <w:div w:id="2055496403">
      <w:bodyDiv w:val="1"/>
      <w:marLeft w:val="0"/>
      <w:marRight w:val="0"/>
      <w:marTop w:val="0"/>
      <w:marBottom w:val="0"/>
      <w:divBdr>
        <w:top w:val="none" w:sz="0" w:space="0" w:color="auto"/>
        <w:left w:val="none" w:sz="0" w:space="0" w:color="auto"/>
        <w:bottom w:val="none" w:sz="0" w:space="0" w:color="auto"/>
        <w:right w:val="none" w:sz="0" w:space="0" w:color="auto"/>
      </w:divBdr>
    </w:div>
    <w:div w:id="2101440613">
      <w:bodyDiv w:val="1"/>
      <w:marLeft w:val="0"/>
      <w:marRight w:val="0"/>
      <w:marTop w:val="0"/>
      <w:marBottom w:val="0"/>
      <w:divBdr>
        <w:top w:val="none" w:sz="0" w:space="0" w:color="auto"/>
        <w:left w:val="none" w:sz="0" w:space="0" w:color="auto"/>
        <w:bottom w:val="none" w:sz="0" w:space="0" w:color="auto"/>
        <w:right w:val="none" w:sz="0" w:space="0" w:color="auto"/>
      </w:divBdr>
    </w:div>
    <w:div w:id="2105757145">
      <w:bodyDiv w:val="1"/>
      <w:marLeft w:val="0"/>
      <w:marRight w:val="0"/>
      <w:marTop w:val="0"/>
      <w:marBottom w:val="0"/>
      <w:divBdr>
        <w:top w:val="none" w:sz="0" w:space="0" w:color="auto"/>
        <w:left w:val="none" w:sz="0" w:space="0" w:color="auto"/>
        <w:bottom w:val="none" w:sz="0" w:space="0" w:color="auto"/>
        <w:right w:val="none" w:sz="0" w:space="0" w:color="auto"/>
      </w:divBdr>
    </w:div>
    <w:div w:id="211420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bs-sct.canada.ca/pol/doc-fra.aspx?id=32692" TargetMode="External"/><Relationship Id="rId21" Type="http://schemas.openxmlformats.org/officeDocument/2006/relationships/hyperlink" Target="https://www.tbs-sct.canada.ca/pol/doc-fra.aspx?id=23601" TargetMode="External"/><Relationship Id="rId34" Type="http://schemas.openxmlformats.org/officeDocument/2006/relationships/hyperlink" Target="https://a11y.canada.ca/fr/accessibilite-numerique-au-gouvernement-du-canada/index.html" TargetMode="External"/><Relationship Id="rId42" Type="http://schemas.openxmlformats.org/officeDocument/2006/relationships/hyperlink" Target="https://a11y.canada.ca/fr/exigences-en-matiere-de-technologies-de-l-information-et-des-communications-tic-accessibles/index.html" TargetMode="External"/><Relationship Id="rId47" Type="http://schemas.openxmlformats.org/officeDocument/2006/relationships/hyperlink" Target="https://www.laws-lois.justice.gc.ca/fra/lois/a-0.6/page-1.html" TargetMode="External"/><Relationship Id="rId50" Type="http://schemas.openxmlformats.org/officeDocument/2006/relationships/hyperlink" Target="https://laws-lois.justice.gc.ca/fra/lois/f-11/" TargetMode="External"/><Relationship Id="rId55" Type="http://schemas.openxmlformats.org/officeDocument/2006/relationships/hyperlink" Target="https://www.tbs-sct.canada.ca/pol/doc-fra.aspx?id=25049" TargetMode="External"/><Relationship Id="rId63" Type="http://schemas.openxmlformats.org/officeDocument/2006/relationships/hyperlink" Target="https://www.itic.org/policy/accessibility"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tbs-sct.canada.ca/pol/doc-fra.aspx?id=32620" TargetMode="External"/><Relationship Id="rId29" Type="http://schemas.openxmlformats.org/officeDocument/2006/relationships/hyperlink" Target="https://a11y.canada.ca/fr/exigences-en-matiere-de-technologies-de-l-information-et-des-communications-tic-accessibles/index.html" TargetMode="External"/><Relationship Id="rId11" Type="http://schemas.openxmlformats.org/officeDocument/2006/relationships/hyperlink" Target="https://www.tbs-sct.canada.ca/pol/doc-fra.aspx?id=32620" TargetMode="External"/><Relationship Id="rId24" Type="http://schemas.openxmlformats.org/officeDocument/2006/relationships/hyperlink" Target="https://www.tbs-sct.canada.ca/pol/doc-fra.aspx?id=32620" TargetMode="External"/><Relationship Id="rId32" Type="http://schemas.openxmlformats.org/officeDocument/2006/relationships/hyperlink" Target="https://a11y.canada.ca/fr/index.html" TargetMode="External"/><Relationship Id="rId37" Type="http://schemas.openxmlformats.org/officeDocument/2006/relationships/hyperlink" Target="mailto:aaact-aatia@ssc-spc.gc.ca" TargetMode="External"/><Relationship Id="rId40" Type="http://schemas.openxmlformats.org/officeDocument/2006/relationships/hyperlink" Target="https://www.canada.ca/fr/services-partages/organisation/programme-aatia.html" TargetMode="External"/><Relationship Id="rId45" Type="http://schemas.openxmlformats.org/officeDocument/2006/relationships/hyperlink" Target="https://www.un.org/development/desa/disabilities/convention-on-the-rights-of-persons-with-disabilities.html" TargetMode="External"/><Relationship Id="rId53" Type="http://schemas.openxmlformats.org/officeDocument/2006/relationships/hyperlink" Target="https://www.tbs-sct.canada.ca/pol/doc-fra.aspx?id=32593" TargetMode="External"/><Relationship Id="rId58" Type="http://schemas.openxmlformats.org/officeDocument/2006/relationships/hyperlink" Target="https://www.tbs-sct.canada.ca/pol/doc-fra.aspx?id=23601" TargetMode="External"/><Relationship Id="rId66"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hyperlink" Target="https://www.canada.ca/fr/gouvernement/systeme/gouvernement-numerique/normes-numeriques-gouvernement-canada.html" TargetMode="External"/><Relationship Id="rId19" Type="http://schemas.openxmlformats.org/officeDocument/2006/relationships/hyperlink" Target="https://accessibilite.canada.ca/en-301-549-exigences-daccessibilite-pour-les-produits-et-services-tic-resume?utm_campaign=PANTHEON_STRIPPED&amp;utm_id=PANTHEON_STRIPPED&amp;utm_medium=PANTHEON_STRIPPED&amp;utm_source=PANTHEON_STRIPPED" TargetMode="External"/><Relationship Id="rId14" Type="http://schemas.openxmlformats.org/officeDocument/2006/relationships/hyperlink" Target="https://www.canada.ca/fr/gouvernement/fonctionpublique/mieux-etre-inclusion-diversite-fonction-publique/diversite-equite-matiere-emploi/accessibilite-fonction-publique.html" TargetMode="External"/><Relationship Id="rId22" Type="http://schemas.openxmlformats.org/officeDocument/2006/relationships/hyperlink" Target="http://www.w3.org/TR/WCAG20/" TargetMode="External"/><Relationship Id="rId27" Type="http://schemas.openxmlformats.org/officeDocument/2006/relationships/hyperlink" Target="https://www.itic.org/policy/accessibility/vpat" TargetMode="External"/><Relationship Id="rId30" Type="http://schemas.openxmlformats.org/officeDocument/2006/relationships/hyperlink" Target="https://www.etsi.org/deliver/etsi_en/301500_301599/301549/03.02.01_60/en_301549v030201p.pdf" TargetMode="External"/><Relationship Id="rId35" Type="http://schemas.openxmlformats.org/officeDocument/2006/relationships/hyperlink" Target="https://2021-prod.ict-cio.ssc-spc.cloud-nuage.canada.ca/fr" TargetMode="External"/><Relationship Id="rId43" Type="http://schemas.openxmlformats.org/officeDocument/2006/relationships/hyperlink" Target="https://www.etsi.org/deliver/etsi_en/301500_301599/301549/03.02.01_60/en_301549v030201p.pdf" TargetMode="External"/><Relationship Id="rId48" Type="http://schemas.openxmlformats.org/officeDocument/2006/relationships/hyperlink" Target="https://laws-lois.justice.gc.ca/fra/const/page-12.html" TargetMode="External"/><Relationship Id="rId56" Type="http://schemas.openxmlformats.org/officeDocument/2006/relationships/hyperlink" Target="https://www.tbs-sct.canada.ca/pol/doc-fra.aspx?id=32692" TargetMode="External"/><Relationship Id="rId64"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ww.tbs-sct.canada.ca/pol/doc-fra.aspx?id=32603" TargetMode="External"/><Relationship Id="rId3" Type="http://schemas.openxmlformats.org/officeDocument/2006/relationships/customXml" Target="../customXml/item3.xml"/><Relationship Id="rId12" Type="http://schemas.openxmlformats.org/officeDocument/2006/relationships/hyperlink" Target="https://laws-lois.justice.gc.ca/fra/lois/f-11/" TargetMode="External"/><Relationship Id="rId17" Type="http://schemas.openxmlformats.org/officeDocument/2006/relationships/hyperlink" Target="https://www.etsi.org/deliver/etsi_en/301500_301599/301549/02.01.02_60/en_301549v020102p.pdf" TargetMode="External"/><Relationship Id="rId25" Type="http://schemas.openxmlformats.org/officeDocument/2006/relationships/hyperlink" Target="https://www.w3.org/TR/WCAG22/" TargetMode="External"/><Relationship Id="rId33" Type="http://schemas.openxmlformats.org/officeDocument/2006/relationships/hyperlink" Target="https://www.gcpedia.gc.ca/wiki/Procurement/_Approvisionnement?setlang=fr&amp;uselang=fr" TargetMode="External"/><Relationship Id="rId38" Type="http://schemas.openxmlformats.org/officeDocument/2006/relationships/hyperlink" Target="mailto:eitpstrategicinitiatives.initiativesstrategiquesatie@ssc-spc.gc.ca" TargetMode="External"/><Relationship Id="rId46" Type="http://schemas.openxmlformats.org/officeDocument/2006/relationships/hyperlink" Target="https://www.w3.org/Translations/WCAG21-fr/" TargetMode="External"/><Relationship Id="rId59" Type="http://schemas.openxmlformats.org/officeDocument/2006/relationships/hyperlink" Target="https://www.tbs-sct.canada.ca/pol/doc-fra.aspx?id=32620" TargetMode="External"/><Relationship Id="rId67" Type="http://schemas.openxmlformats.org/officeDocument/2006/relationships/fontTable" Target="fontTable.xml"/><Relationship Id="rId20" Type="http://schemas.openxmlformats.org/officeDocument/2006/relationships/hyperlink" Target="https://www.tbs-sct.canada.ca/pol/doc-fra.aspx?id=23601" TargetMode="External"/><Relationship Id="rId41" Type="http://schemas.openxmlformats.org/officeDocument/2006/relationships/hyperlink" Target="mailto:aaact-aatia@ssc-spc.gc.ca" TargetMode="External"/><Relationship Id="rId54" Type="http://schemas.openxmlformats.org/officeDocument/2006/relationships/hyperlink" Target="https://www.tbs-sct.canada.ca/pol/doc-fra.aspx?id=30683" TargetMode="External"/><Relationship Id="rId62" Type="http://schemas.openxmlformats.org/officeDocument/2006/relationships/hyperlink" Target="https://www.tbs-sct.canada.ca/pol/doc-fra.aspx?id=32593"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canada.ca/fr/gouvernement/fonctionpublique/mieux-etre-inclusion-diversite-fonction-publique/diversite-equite-matiere-emploi/accessibilite-fonction-publique/strategie-accessibilite-fonction-publique-tdm.html" TargetMode="External"/><Relationship Id="rId23" Type="http://schemas.openxmlformats.org/officeDocument/2006/relationships/hyperlink" Target="https://www.etsi.org/deliver/etsi_en/301500_301599/301549/02.01.02_60/en_301549v020102p.pdf" TargetMode="External"/><Relationship Id="rId28" Type="http://schemas.openxmlformats.org/officeDocument/2006/relationships/hyperlink" Target="https://2021-prod.ict-cio.ssc-spc.cloud-nuage.canada.ca/fr" TargetMode="External"/><Relationship Id="rId36" Type="http://schemas.openxmlformats.org/officeDocument/2006/relationships/hyperlink" Target="https://a11y.canada.ca/fr/exigences-en-matiere-de-technologies-de-l-information-et-des-communications-tic-accessibles/index.html" TargetMode="External"/><Relationship Id="rId49" Type="http://schemas.openxmlformats.org/officeDocument/2006/relationships/hyperlink" Target="https://laws-lois.justice.gc.ca/fra/lois/h-6/" TargetMode="External"/><Relationship Id="rId57" Type="http://schemas.openxmlformats.org/officeDocument/2006/relationships/hyperlink" Target="https://achatsetventes.gc.ca/politiques-et-lignes-directrices/le-guide-des-ccua-est-sur-achatscanada" TargetMode="External"/><Relationship Id="rId10" Type="http://schemas.openxmlformats.org/officeDocument/2006/relationships/endnotes" Target="endnotes.xml"/><Relationship Id="rId31" Type="http://schemas.openxmlformats.org/officeDocument/2006/relationships/hyperlink" Target="https://accessibilite.canada.ca/en-301-549-exigences-daccessibilite-pour-les-produits-et-services-tic" TargetMode="External"/><Relationship Id="rId44" Type="http://schemas.openxmlformats.org/officeDocument/2006/relationships/hyperlink" Target="https://www.etsi.org/deliver/etsi_en/301500_301599/301549/02.01.02_60/en_301549v020102p.pdf" TargetMode="External"/><Relationship Id="rId52" Type="http://schemas.openxmlformats.org/officeDocument/2006/relationships/hyperlink" Target="https://www.tbs-sct.canada.ca/pol/doc-fra.aspx?id=32601" TargetMode="External"/><Relationship Id="rId60" Type="http://schemas.openxmlformats.org/officeDocument/2006/relationships/hyperlink" Target="https://www.canada.ca/fr/gouvernement/fonctionpublique/mieux-etre-inclusion-diversite-fonction-publique/diversite-equite-matiere-emploi/accessibilite-fonction-publique/strategie-accessibilite-fonction-publique-tdm.html"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parl.ca/documentviewer/fr/42-1/projet-loi/C-81/sanction-royal" TargetMode="External"/><Relationship Id="rId18" Type="http://schemas.openxmlformats.org/officeDocument/2006/relationships/hyperlink" Target="https://www.etsi.org/deliver/etsi_en/301500_301599/301549/03.02.01_60/en_301549v030201p.pdf" TargetMode="External"/><Relationship Id="rId39" Type="http://schemas.openxmlformats.org/officeDocument/2006/relationships/hyperlink" Target="mailto:TPSGC.PACRAAccessible-APAccessiblePRC.PWGSC@tpsgc-pwgsc.gc.ca"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merriam-webster.com/dictionary/end%20user" TargetMode="External"/><Relationship Id="rId1" Type="http://schemas.openxmlformats.org/officeDocument/2006/relationships/hyperlink" Target="https://www.itic.org/policy/accessibility/vp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5E66BA07A98346B3261AD8B646936B" ma:contentTypeVersion="13" ma:contentTypeDescription="Create a new document." ma:contentTypeScope="" ma:versionID="e881eedf18919df59b50d8c8e8b68905">
  <xsd:schema xmlns:xsd="http://www.w3.org/2001/XMLSchema" xmlns:xs="http://www.w3.org/2001/XMLSchema" xmlns:p="http://schemas.microsoft.com/office/2006/metadata/properties" xmlns:ns2="a5b58bab-3cc2-4c8f-acd6-cc36c5af2e8d" xmlns:ns3="c007984e-1eed-4865-becd-8cfebec4a65c" targetNamespace="http://schemas.microsoft.com/office/2006/metadata/properties" ma:root="true" ma:fieldsID="7e64d17a4556335a64cf56015ff1d874" ns2:_="" ns3:_="">
    <xsd:import namespace="a5b58bab-3cc2-4c8f-acd6-cc36c5af2e8d"/>
    <xsd:import namespace="c007984e-1eed-4865-becd-8cfebec4a65c"/>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58bab-3cc2-4c8f-acd6-cc36c5af2e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44945db-1062-49f2-aa89-5404156f688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07984e-1eed-4865-becd-8cfebec4a65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5b58bab-3cc2-4c8f-acd6-cc36c5af2e8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B629D3-36CE-45B7-A9B2-2E3EF4449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58bab-3cc2-4c8f-acd6-cc36c5af2e8d"/>
    <ds:schemaRef ds:uri="c007984e-1eed-4865-becd-8cfebec4a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39A855-1A64-4D5B-B3D8-4F177AE58AA8}">
  <ds:schemaRefs>
    <ds:schemaRef ds:uri="http://schemas.openxmlformats.org/officeDocument/2006/bibliography"/>
  </ds:schemaRefs>
</ds:datastoreItem>
</file>

<file path=customXml/itemProps3.xml><?xml version="1.0" encoding="utf-8"?>
<ds:datastoreItem xmlns:ds="http://schemas.openxmlformats.org/officeDocument/2006/customXml" ds:itemID="{741B572B-AF25-4027-9661-474E6AC60B53}">
  <ds:schemaRefs>
    <ds:schemaRef ds:uri="http://schemas.microsoft.com/office/2006/metadata/properties"/>
    <ds:schemaRef ds:uri="http://schemas.microsoft.com/office/infopath/2007/PartnerControls"/>
    <ds:schemaRef ds:uri="a5b58bab-3cc2-4c8f-acd6-cc36c5af2e8d"/>
  </ds:schemaRefs>
</ds:datastoreItem>
</file>

<file path=customXml/itemProps4.xml><?xml version="1.0" encoding="utf-8"?>
<ds:datastoreItem xmlns:ds="http://schemas.openxmlformats.org/officeDocument/2006/customXml" ds:itemID="{09FFADB5-EA6D-4772-B31B-FD6434BF1C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5640</Words>
  <Characters>32153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Glick-Stal, Leah</dc:creator>
  <cp:keywords/>
  <dc:description/>
  <cp:lastModifiedBy>Shawn Thompson</cp:lastModifiedBy>
  <cp:revision>2</cp:revision>
  <dcterms:created xsi:type="dcterms:W3CDTF">2025-01-23T19:06:00Z</dcterms:created>
  <dcterms:modified xsi:type="dcterms:W3CDTF">2025-01-23T19:06:00Z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2023-01-30T17:35:57Z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b8d1fd15-80d5-4775-8298-4b7083ea7f2d</vt:lpwstr>
  </property>
  <property fmtid="{D5CDD505-2E9C-101B-9397-08002B2CF9AE}" pid="8" name="MSIP_Label_3515d617-256d-4284-aedb-1064be1c4b48_ContentBits">
    <vt:lpwstr>0</vt:lpwstr>
  </property>
  <property fmtid="{D5CDD505-2E9C-101B-9397-08002B2CF9AE}" pid="9" name="ContentTypeId">
    <vt:lpwstr>0x010100B05E66BA07A98346B3261AD8B646936B</vt:lpwstr>
  </property>
  <property fmtid="{D5CDD505-2E9C-101B-9397-08002B2CF9AE}" pid="10" name="_dlc_DocIdItemGuid">
    <vt:lpwstr>bea7a0b6-5c55-47a7-a6bf-984e780a2242</vt:lpwstr>
  </property>
  <property fmtid="{D5CDD505-2E9C-101B-9397-08002B2CF9AE}" pid="11" name="TaxKeyword">
    <vt:lpwstr/>
  </property>
  <property fmtid="{D5CDD505-2E9C-101B-9397-08002B2CF9AE}" pid="12" name="MediaServiceImageTags">
    <vt:lpwstr/>
  </property>
  <property fmtid="{D5CDD505-2E9C-101B-9397-08002B2CF9AE}" pid="13" name="_NewReviewCycle">
    <vt:lpwstr/>
  </property>
  <property fmtid="{D5CDD505-2E9C-101B-9397-08002B2CF9AE}" pid="14" name="MSIP_Label_834ed4f5-eae4-40c7-82be-b1cdf720a1b9_Enabled">
    <vt:lpwstr>true</vt:lpwstr>
  </property>
  <property fmtid="{D5CDD505-2E9C-101B-9397-08002B2CF9AE}" pid="15" name="MSIP_Label_834ed4f5-eae4-40c7-82be-b1cdf720a1b9_SetDate">
    <vt:lpwstr>2023-08-30T20:34:46Z</vt:lpwstr>
  </property>
  <property fmtid="{D5CDD505-2E9C-101B-9397-08002B2CF9AE}" pid="16" name="MSIP_Label_834ed4f5-eae4-40c7-82be-b1cdf720a1b9_Method">
    <vt:lpwstr>Standard</vt:lpwstr>
  </property>
  <property fmtid="{D5CDD505-2E9C-101B-9397-08002B2CF9AE}" pid="17" name="MSIP_Label_834ed4f5-eae4-40c7-82be-b1cdf720a1b9_Name">
    <vt:lpwstr>Unclassified - Non classifié</vt:lpwstr>
  </property>
  <property fmtid="{D5CDD505-2E9C-101B-9397-08002B2CF9AE}" pid="18" name="MSIP_Label_834ed4f5-eae4-40c7-82be-b1cdf720a1b9_SiteId">
    <vt:lpwstr>e0d54a3c-7bbe-4a64-9d46-f9f84a41c833</vt:lpwstr>
  </property>
  <property fmtid="{D5CDD505-2E9C-101B-9397-08002B2CF9AE}" pid="19" name="MSIP_Label_834ed4f5-eae4-40c7-82be-b1cdf720a1b9_ActionId">
    <vt:lpwstr>1c7c66fb-4f47-4017-b2bc-16f5bd7d9637</vt:lpwstr>
  </property>
  <property fmtid="{D5CDD505-2E9C-101B-9397-08002B2CF9AE}" pid="20" name="MSIP_Label_834ed4f5-eae4-40c7-82be-b1cdf720a1b9_ContentBits">
    <vt:lpwstr>0</vt:lpwstr>
  </property>
  <property fmtid="{D5CDD505-2E9C-101B-9397-08002B2CF9AE}" pid="21" name="ClassificationContentMarkingHeaderShapeIds">
    <vt:lpwstr>1,2,3</vt:lpwstr>
  </property>
  <property fmtid="{D5CDD505-2E9C-101B-9397-08002B2CF9AE}" pid="22" name="ClassificationContentMarkingHeaderFontProps">
    <vt:lpwstr>#000000,12,Calibri</vt:lpwstr>
  </property>
  <property fmtid="{D5CDD505-2E9C-101B-9397-08002B2CF9AE}" pid="23" name="ClassificationContentMarkingHeaderText">
    <vt:lpwstr>Unclassified | Non classifié</vt:lpwstr>
  </property>
  <property fmtid="{D5CDD505-2E9C-101B-9397-08002B2CF9AE}" pid="24" name="MSIP_Label_8951c139-e885-4e7f-8042-c4c17a61b6ec_Enabled">
    <vt:lpwstr>true</vt:lpwstr>
  </property>
  <property fmtid="{D5CDD505-2E9C-101B-9397-08002B2CF9AE}" pid="25" name="MSIP_Label_8951c139-e885-4e7f-8042-c4c17a61b6ec_SetDate">
    <vt:lpwstr>2024-01-03T14:11:17Z</vt:lpwstr>
  </property>
  <property fmtid="{D5CDD505-2E9C-101B-9397-08002B2CF9AE}" pid="26" name="MSIP_Label_8951c139-e885-4e7f-8042-c4c17a61b6ec_Method">
    <vt:lpwstr>Standard</vt:lpwstr>
  </property>
  <property fmtid="{D5CDD505-2E9C-101B-9397-08002B2CF9AE}" pid="27" name="MSIP_Label_8951c139-e885-4e7f-8042-c4c17a61b6ec_Name">
    <vt:lpwstr>Unclassified</vt:lpwstr>
  </property>
  <property fmtid="{D5CDD505-2E9C-101B-9397-08002B2CF9AE}" pid="28" name="MSIP_Label_8951c139-e885-4e7f-8042-c4c17a61b6ec_SiteId">
    <vt:lpwstr>d05bc194-94bf-4ad6-ae2e-1db0f2e38f5e</vt:lpwstr>
  </property>
  <property fmtid="{D5CDD505-2E9C-101B-9397-08002B2CF9AE}" pid="29" name="MSIP_Label_8951c139-e885-4e7f-8042-c4c17a61b6ec_ActionId">
    <vt:lpwstr>0bef87e7-3bc8-4688-8142-abdf2bdcbf40</vt:lpwstr>
  </property>
  <property fmtid="{D5CDD505-2E9C-101B-9397-08002B2CF9AE}" pid="30" name="MSIP_Label_8951c139-e885-4e7f-8042-c4c17a61b6ec_ContentBits">
    <vt:lpwstr>1</vt:lpwstr>
  </property>
</Properties>
</file>