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60" w:line="360" w:lineRule="auto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한국 상장기업 사업보고서의 ESG 어휘 강도는 KCGS 등급을 설명하는가:</w:t>
      </w:r>
    </w:p>
    <w:p>
      <w:pPr>
        <w:spacing w:after="280" w:before="0" w:line="360" w:lineRule="auto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공시 장황성 통제와 지배구조 신호의 섹션 국소화</w:t>
      </w:r>
    </w:p>
    <w:p>
      <w:pPr>
        <w:spacing w:after="80" w:before="0" w:line="300" w:lineRule="auto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김혜성, 이동원, 김지우, 신지영</w:t>
      </w:r>
    </w:p>
    <w:p>
      <w:pPr>
        <w:spacing w:after="360" w:before="0" w:line="300" w:lineRule="auto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비정형 데이터 처리 Final Term Project | 3조</w:t>
      </w:r>
    </w:p>
    <w:p>
      <w:pPr>
        <w:spacing w:after="100" w:before="0" w:line="300" w:lineRule="auto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초록</w:t>
      </w:r>
    </w:p>
    <w:p>
      <w:pPr>
        <w:spacing w:after="80" w:before="0" w:line="360" w:lineRule="auto"/>
        <w:ind w:left="280" w:right="28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사업보고서에 담긴 ESG 관련 표현이 한국ESG기준원(KCGS) 등급 평가와 어떤 통계적 연관을 갖는지 분석하였다. 127개 한국 상장기업의 2022–2024 회계연도 사업보고서(381 firm-year)를 대상으로 TF-IDF 기반 seed·expanded dictionary와 FastText 단어 임베딩을 결합해 환경(E)·사회(S)·지배구조(G) 차원의 어휘 강도를 측정하고, OLS·Ordered Logit·Binary Logit 3종 회귀로 공시 분량을 통제한 뒤 등급과의 연관을 추정하였다. 단순 토큰 수의 Spearman ρ(0.663)가 모든 ESG feature를 압도하며 A 이상 등급 기업이 B+ 이하 기업보다 평균 2.1배 긴 보고서를 작성한다는 사실은 공시 장황성이 연관의 주요 원천임을 시사한다. 분량과 재무규모를 동시에 통제한 후에도 G expanded 어휘는 독립 신호를 유지하는 반면(β=1.955, p&lt;0.001), E는 유의성이 소멸하고 S는 모든 모형에서 비유의이다. 추가 분석에서 G 신호는 이사회 공시 섹션(VI)에 집중되어 전체 문서 대비 등급 상관이 0.426에서 0.526으로 선명해지며, 이는 어휘 사전에 의존하지 않는 의미 임베딩 분류(VI 문장의 97.9%가 G로 분류)에서도 일관되게 재현된다. 모든 결과는 연관 관찰이며 인과 추론으로 해석할 수 없다.</w:t>
      </w:r>
    </w:p>
    <w:p>
      <w:pPr>
        <w:spacing w:after="200" w:before="0"/>
      </w:pPr>
      <w:r>
        <w:t xml:space="preserve"/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Introduction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기업 ESG 공시와 외부 평가 등급 사이의 연결은 투자자·규제 당국·학계 모두에게 실질적 의미를 갖는다. 공시 언어가 실제 ESG 성과를 충실히 반영한다면 사업보고서 텍스트는 등급의 선행 지표로 기능할 수 있다. 그러나 보고서 작성 인프라가 갖춰진 대형 기업일수록 ESG 관련 표현도 길고 정교하게 쓰는 경향이 있어, 공시 분량 자체가 ESG 성과와 무관하게 등급과 동조할 수 있다. 이 문제를 이후 분석에서는 "cheap-talk"으로 표현한다. 거짓 공시라는 단정이 아니라 공시 표현의 양과 외부 평가가 강하게 연동되어 실제 성과와 공시 언어 사이의 괴리가 생길 수 있다는 해석 틀이다.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ESG 등급 간 불일치 문제는 이미 선행 연구에서 지적된 바 있다. Berg et al.(2022)은 주요 6개 ESG 평가기관 간 등급 상관이 0.38–0.71에 불과해 신용등급(0.99)과 극명하게 대비된다는 점을 보이며, 평가 방법론의 차이가 불일치의 절반 이상을 설명한다고 분석하였다. 단일 평가기관 등급과 텍스트 기반 측정치를 연결하는 본 연구는 사업보고서가 KCGS 평가 정보를 얼마나 담아내는지를 확인하는 성격이 있다. 또한 Loughran and McDonald(2011)가 10-K 공시 분석에서 제기한 도메인 특화 어휘 사전의 필요성은, 범용 사전 대신 corpus 내부 FastText로 expanded dictionary를 구축한 본 연구의 방법론적 선택에 근거를 제공한다.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연구의 분석 단위는 stock_code × fiscal_year firm-year이며, 두 가지 질문에 답하고자 한다. 첫째, 사업보고서 ESG 어휘 강도는 KCGS 등급과 통계적으로 연관되는가, 그리고 그 연관은 공시 분량 효과를 통제한 뒤에도 유지되는가. 둘째, 분량 통제 후 남는 ESG 신호는 보고서의 어느 섹션에 집중되어 있는가. 본 연구의 기여는 공시 분량 효과를 명시적으로 분리하고, G 신호의 섹션 국소화를 사전 기반과 의미 임베딩 양쪽에서 정량화한 점이다.</w:t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Data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2.1 표본 구성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분석 대상은 KCGS ESG 등급이 부여된 한국 상장기업 127개의 2022·2023·2024 회계연도 사업보고서로, firm-year 단위 패널 381행을 구성하였다. 회사명이 아닌 stock_code × fiscal_year를 분석 단위로 삼은 이유는 사명 변경·지주회사 전환·표기 차이 때문에 회사명 기준 병합 시 조용한 오매칭이 발생할 수 있기 때문이다. 실제 데이터에서 고유 회사명은 133개이나 고유 종목코드는 127개로 차이가 있었다.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사업보고서는 DART OpenAPI를 통해 stock_code → corp_code → rcept_no → document.xml 경로로 수집하였다. 정정공시는 최신본 우선으로 처리하였으며 반기·분기보고서는 분석 기간이 달라 제외하였다. 381건 전수 수집에 성공하였다(SUCCESS 381/381). KCGS 등급은 D=0, C=1, B=2, B+=3, A=4, A+=5의 순서형 변수로 변환하였다. 등급 변환은 서열 정보만을 활용하는 것이며 등급 간 간격이 동일하다는 의미가 아니다. 이 점을 고려해 OLS 외에 Ordered Logit과 Binary Logit을 병행하였다.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2.2 섹션 추출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사업보고서 전체를 분석에 사용하지 않고 II(사업의 내용)·IV(이사의 경영진단 및 분석의견)·VI(이사회 등 회사의 기관에 관한 사항) 세 섹션을 추출하였다. 섹션을 제한한 이유는 다음과 같다. 재무제표 주석·표·안내 문구 등은 ESG 어휘의 빈도를 왜곡할 수 있으며, II·IV·VI는 환경·사회·지배구조 관련 서술이 실제 문장으로 나타날 가능성이 높고 기업 간 구조적 비교가 가능한 대분류이다. 섹션 경계는 보고서마다 세부 항목명이 달라도 안정적인 로마숫자 대분류 제목을 기준으로 구분하였으며, 표 블록은 제거하고 10자 미만 단편은 제외하였다. 추출 결과 II·IV·VI 전 섹션에서 0자 firm-year는 없었다.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2.3 공시 분량 분포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추출된 텍스트의 글자 수는 평균 34,773자, 최소 4,513자, 최대 189,606자로 편차비가 42배에 달한다. 이 극단적 편차는 ESG 단어 빈도가 높다는 사실만으로 ESG 성과가 우수하다고 단정하기 어렵게 만드는 근본 조건이다.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1. 사업보고서 추출 텍스트 글자 수 분포 (381 firm-year)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평균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34,773자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중앙값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25,872자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최소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4,513자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189,606자</w:t>
            </w:r>
          </w:p>
        </w:tc>
      </w:tr>
      <w:tr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편차비</w:t>
            </w:r>
          </w:p>
        </w:tc>
        <w:tc>
          <w:tcPr>
            <w:tcW w:type="dxa" w:w="453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42.0배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Method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3.1 한국어 형태소 분석기 선택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한국어 사업보고서는 조사·어미가 단어에 결합하고 복합명사가 많아 공백 기준 토큰화로는 ESG 개념 단위를 안정적으로 추출할 수 없다. 형태소 분석기는 Kiwi와 Okt를 corpus 샘플 30개에서 seed 보존율·복합명사 처리·속도 기준으로 비교하였으며, 추가로 BERT 계열 subword 토크나이저(klue/bert-base)와도 비교하였다.</w:t>
      </w:r>
    </w:p>
    <w:p>
      <w:pPr>
        <w:spacing w:after="0" w:before="100"/>
        <w:jc w:val="center"/>
      </w:pPr>
      <w:r>
        <w:drawing>
          <wp:inline distT="0" distB="0" distL="0" distR="0">
            <wp:extent cx="5191125" cy="1895475"/>
            <wp:effectExtent t="0" r="0" b="0" l="0"/>
            <wp:docPr id="1" name="형태소 분석기 seed 보존율 비교" descr="형태소 분석기 seed 보존율 비교" title="형태소 분석기 seed 보존율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1. 형태소 분석기 seed 보존율 비교. Kiwi 사용자 사전이 Kiwi 기본과 HF subword 대비 전 차원에서 seed를 더 많이 보존한다. HF subword는 ESG 합성어("넷제로"→"넷+##제+##로")를 빈번히 분리해 사전 기반 점수 계산에 적합하지 않다.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Kiwi 기본의 seed 보존율은 18/30(60%)이나, seed 30개를 고유명사(NNP)로 등록하고 인식 우선순위를 높인 사용자 사전 적용 후 28/30(93%)으로 상승하였다. HF subword는 16/30(53%)에 머물렀다. 복합명사 보존이 핵심 요건인 본 분석에서 Kiwi+사용자 사전을 채택하였다. 토큰화 단위는 일반명사(NNG)·고유명사(NNP) 2자 이상으로 제한하였다. 불용어는 일반 경영어·회사명 분해 토큰·공시 정형어 3종으로 구성하되, seed 30개와 ESG 관련어 31개(probe set)를 불용어에서 강제 제외해 ESG 신호 오제거를 방지하였다.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 Feature 구성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Seed TF-IDF. E·S·G 각 10개씩 30개 seed를 기반으로 TF-IDF 행렬(381 × 6,811)을 학습하고, 각 차원 seed에 해당하는 TF-IDF 값을 합산해 seed_score_E/S/G를 산출하였다. 핵심 파라미터는 min_df=5(희귀 노이즈 제거), max_df=0.80(전 문서 보일러플레이트 제거), sublinear_tf=True(빈도 과대 반응 완화)이다. max_df=0.80은 G seed 7개("이사회"·"사외이사"·"주주" 등)를 어휘에서 제외시킨다. 이 제외가 G 신호를 인위적으로 약화시키는 artifact인지 확인하기 위해 max_df를 0.80에서 1.00까지 높이며 seed_G ↔ g_grade ρ를 추적하였다.</w:t>
      </w:r>
    </w:p>
    <w:p>
      <w:pPr>
        <w:spacing w:after="0" w:before="100"/>
        <w:jc w:val="center"/>
      </w:pPr>
      <w:r>
        <w:drawing>
          <wp:inline distT="0" distB="0" distL="0" distR="0">
            <wp:extent cx="5191125" cy="2886075"/>
            <wp:effectExtent t="0" r="0" b="0" l="0"/>
            <wp:docPr id="1" name="max_df sweep" descr="max_df sweep" title="max_df swe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2. max_df 값에 따른 seed_G ↔ g_grade Spearman ρ 변화. max_df=0.80–0.95 구간에서 ρ는 0.271–0.304로 안정적이나, 0.99에서 0.108로 급락하고 1.00에서 −0.162로 반전된다. 보편어를 포함할수록 신호가 파괴되므로 max_df=0.80은 견고한 결정이다.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Expanded Dictionary. seed-only TF-IDF의 한계를 보완하기 위해 corpus 내부에서 FastText(skip-gram, vector_size=100, window=5, min_count=3, epochs=10)를 학습한 뒤 seed별 cosine 유사도 임계값 θ=0.65로 후보를 수집하였다. θ는 0.55–0.75 sweep에서 후보 수·잡음 비율·수동 검토 가능성을 기준으로 선정하였다. θ=0.65에서 초기 660개(중복 포함) → 자동 필터 475개 → 전수 수동 검토 42개 기각 → 433개 확정하였다. 기각 대상은 인명·지명·시사 노이즈·형태소 오분리이며, 기각률은 E 9.8%, S 40.7%, G 5.8%였다. S 기각률이 높다는 사실은 S 어휘의 본질적 희소성을 반영한다.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3.3 측정 방법론 교차검증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사전 기반 TF-IDF가 ESG 의미를 포착하는 타당한 방법인지 확인하기 위해, 의미 임베딩 모델(ko-sroberta-multitask)로 기준 문장과 firm-year 문장 간 dense cosine을 계산하고 TF-IDF cosine과 비교하였다.</w:t>
      </w:r>
    </w:p>
    <w:p>
      <w:pPr>
        <w:spacing w:after="0" w:before="100"/>
        <w:jc w:val="center"/>
      </w:pPr>
      <w:r>
        <w:drawing>
          <wp:inline distT="0" distB="0" distL="0" distR="0">
            <wp:extent cx="5191125" cy="2714625"/>
            <wp:effectExtent t="0" r="0" b="0" l="0"/>
            <wp:docPr id="1" name="Dense vs TF-IDF 비교" descr="Dense vs TF-IDF 비교" title="Dense vs TF-IDF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3. Dense 의미 임베딩 vs. TF-IDF 기반 cosine의 등급 상관 비교. E·S·G 세 차원 모두 TF-IDF cosine의 Spearman ρ가 dense cosine보다 높다(E: 0.321 vs. 0.229; S: 0.276 vs. −0.144; G: 0.290 vs. −0.031). dense 임베딩은 S·G에서 등급과 역방향이거나 무의미한 관계를 보인다.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세 차원 모두 TF-IDF cosine의 ρ가 dense cosine보다 높았으며, S·G에서는 dense가 역방향이었다. 일반 도메인 모델이 공시체 특유 표현 차이를 포착하지 못하기 때문으로 해석된다. 본 분석이 TF-IDF 기반 측정치를 주요 feature로 사용하는 것이 이 과제에서 적합함을 역방향 검증으로 확인하였다.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3.4 회귀 모형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ESG 등급은 서열변수이므로 OLS(등간성 가정 baseline), Ordered Logit(순서 정보 보존), Binary Logit(A 이상 여부)을 병행하였다. 모든 모형에 log_n_tokens를 통제변수로 포함하였다(M1). 추가로 재무 교란을 분리하기 위해 log_assets·roa·leverage를 함께 통제한 모형(M2)을 344 firm-year에 적용하였다. Seed·expanded·cosine feature는 상호 다중공선성(E: r=0.937, S: r=0.817)이 높아 feature set별로 분리하여 회귀하였다.</w:t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Results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4.1 공시 분량이 ESG 어휘보다 강하게 연관된다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Spearman 순위상관 분석(등급 4종 × feature 10개 = 40개 검정, BH-FDR 보정)에서 모든 feature가 p&lt;0.01로 유의하게 나타났다. 그러나 단순 토큰 수의 ρ=0.663이 어떤 ESG 어휘 feature보다도 높다는 점이 결정적이다.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2. 주요 feature와 ESG 통합등급 간 Spearman ρ (FDR 보정 후 40/40 유의)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72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ESG 통합등급 ρ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해석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n_tokens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0.663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 1위 — cheap-talk 핵심 증거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expanded_score_G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0.425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중간, g_grade에 가장 강함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expanded_score_E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0.373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ref_cosine_E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0.321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약한~중간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seed_score_E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0.306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약한~중간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expanded_score_S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0.212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약함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seed_score_G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0.248</w:t>
            </w:r>
          </w:p>
        </w:tc>
        <w:tc>
          <w:tcPr>
            <w:tcW w:type="dxa" w:w="37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약함</w:t>
            </w:r>
          </w:p>
        </w:tc>
      </w:tr>
    </w:tbl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Mann-Whitney U 검정에서 A 이상 등급 기업(138건)의 평균 토큰 수는 7,523으로 B+ 이하(243건)의 3,547에 비해 2.1배 많았으며 효과크기 r=0.649로 "강함" 수준이었다. Binary Logit에서 log_n_tokens의 odds ratio는 약 7.9(p&lt;0.001)로, 토큰 수가 e배(약 2.7배) 증가할 때 A 이상 등급일 odds가 약 8배 높아진다. 이 결과는 이후 모든 회귀에서 분량 통제가 필수임을 수치로 보여준다.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4.2 회귀: G만 분량·재무 통제 후 독립 신호를 유지한다</w:t>
      </w:r>
    </w:p>
    <w:p>
      <w:pPr>
        <w:spacing w:after="0" w:before="100"/>
        <w:jc w:val="center"/>
      </w:pPr>
      <w:r>
        <w:drawing>
          <wp:inline distT="0" distB="0" distL="0" distR="0">
            <wp:extent cx="5191125" cy="2619375"/>
            <wp:effectExtent t="0" r="0" b="0" l="0"/>
            <wp:docPr id="1" name="M1→M2 계수 변화 dumbbell" descr="M1→M2 계수 변화 dumbbell" title="M1→M2 계수 변화 dumbb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4. 분량 통제(M1) 및 재무통제 추가(M2) 후 ESG feature 회귀 계수 변화. expanded_G(파란 점)는 M2에서도 유의하게 유지되고, expanded_E(빨간 점)는 유의성이 소멸한다.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3. OLS 회귀 결과 — Expanded feature set, M1(분량 통제), M2(분량+재무 통제, n=344)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000"/>
        <w:gridCol w:w="1100"/>
        <w:gridCol w:w="1000"/>
        <w:gridCol w:w="2372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M1 β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M1 p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M2 β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M2 p</w:t>
            </w:r>
          </w:p>
        </w:tc>
        <w:tc>
          <w:tcPr>
            <w:tcW w:type="dxa" w:w="2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expanded_G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+3.174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+1.955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견고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+0.432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+0.172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0.396</w:t>
            </w:r>
          </w:p>
        </w:tc>
        <w:tc>
          <w:tcPr>
            <w:tcW w:type="dxa" w:w="2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유의성 소멸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expanded_S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−0.695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0.302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−0.070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0.918</w:t>
            </w:r>
          </w:p>
        </w:tc>
        <w:tc>
          <w:tcPr>
            <w:tcW w:type="dxa" w:w="2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비유의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log_n_tokens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+1.297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+0.718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3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절반↓이나 견고</w:t>
            </w:r>
          </w:p>
        </w:tc>
      </w:tr>
    </w:tbl>
    <w:p>
      <w:pPr>
        <w:spacing w:after="100" w:before="40"/>
      </w:pPr>
      <w:r>
        <w:rPr>
          <w:rFonts w:ascii="맑은 고딕" w:cs="맑은 고딕" w:eastAsia="맑은 고딕" w:hAnsi="맑은 고딕"/>
          <w:i/>
          <w:iCs/>
          <w:sz w:val="16"/>
          <w:szCs w:val="16"/>
        </w:rPr>
        <w:t xml:space="preserve">주: M2에 log_assets β=+0.262(p&lt;0.001), roa β=+2.503(p=0.005) 포함. R² 0.476(M1) → 0.551(M2).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expanded_G의 M1 계수 β=3.174는 단위당 효과가 커 보이나, 실제 분포(평균 0.197, SD 0.133)를 고려하면 1 SD 증가 시 등급 상승 효과는 약 0.42등급(7점 척도 기준)이다. M2에서는 약 0.26등급으로 축소되지만 여전히 유의하다. E는 재무 통제 후 유의성이 사라져 M1에서 포착된 환경 신호의 상당 부분이 기업 규모 교란이었음을 드러낸다. S는 분량만 통제한 M1에서도 비유의로, 사업보고서 텍스트로는 사회 차원의 안정적 측정이 어렵다는 점을 보인다. Ordered Logit(expanded_G β=4.944, p&lt;0.001)과 Binary Logit(OR=27.1, p&lt;0.001)에서도 G의 견고성이 확인되었다.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4.3 G 신호는 이사회 공시 섹션(VI)에 집중될 때 가장 선명해진다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분량 통제 후 남는 G 신호가 보고서의 어느 섹션에서 오는지 추적하기 위해 합본 텍스트를 II·IV·VI 섹션별로 분리하고 섹션별 9개 expanded 점수를 산출하였다. 섹션별 점수와 해당 차원 등급 간 Spearman ρ를 그림 5에 나타내었다.</w:t>
      </w:r>
    </w:p>
    <w:p>
      <w:pPr>
        <w:spacing w:after="0" w:before="100"/>
        <w:jc w:val="center"/>
      </w:pPr>
      <w:r>
        <w:drawing>
          <wp:inline distT="0" distB="0" distL="0" distR="0">
            <wp:extent cx="4000500" cy="3009900"/>
            <wp:effectExtent t="0" r="0" b="0" l="0"/>
            <wp:docPr id="1" name="섹션 국소화 행렬 히트맵" descr="섹션 국소화 행렬 히트맵" title="섹션 국소화 행렬 히트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5. 섹션별 어휘 강도와 차원 등급 간 Spearman ρ 히트맵. VI_G가 0.526으로 전체 문서 측정치(0.426)를 초과한다. 검은 테두리=강조, *=p&lt;0.05.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4. 섹션 국소화 행렬: ρ(섹션 점수, 차원 등급). ⁿˢ=p≥0.05, 그 외 전부 p&lt;0.05.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91"/>
        <w:gridCol w:w="2091"/>
        <w:gridCol w:w="209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섹션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 (e_grade)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 (s_grade)</w:t>
            </w:r>
          </w:p>
        </w:tc>
        <w:tc>
          <w:tcPr>
            <w:tcW w:type="dxa" w:w="2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 (g_grade)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II (사업내용)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+0.378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+0.247</w:t>
            </w:r>
          </w:p>
        </w:tc>
        <w:tc>
          <w:tcPr>
            <w:tcW w:type="dxa" w:w="2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+0.282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 (경영진단)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+0.341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+0.033 ⁿˢ</w:t>
            </w:r>
          </w:p>
        </w:tc>
        <w:tc>
          <w:tcPr>
            <w:tcW w:type="dxa" w:w="2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+0.446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 (기관)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+0.129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+0.315</w:t>
            </w:r>
          </w:p>
        </w:tc>
        <w:tc>
          <w:tcPr>
            <w:tcW w:type="dxa" w:w="2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+0.526 ★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(참고) 전체 문서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0.451</w:t>
            </w:r>
          </w:p>
        </w:tc>
        <w:tc>
          <w:tcPr>
            <w:tcW w:type="dxa" w:w="209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0.230</w:t>
            </w:r>
          </w:p>
        </w:tc>
        <w:tc>
          <w:tcPr>
            <w:tcW w:type="dxa" w:w="20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0.426</w:t>
            </w:r>
          </w:p>
        </w:tc>
      </w:tr>
    </w:tbl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VI_G ρ=0.526이 전체 문서 G 상관(0.426)을 초과한다는 사실은 지배구조를 거버넌스 공시 전용 섹션에서 측정할 때 신호가 선명해지는 효과(sharpening)를 의미한다. 이 효과가 VI 섹션의 분량이 더 적어 G 어휘 밀도가 높아진 결과일 가능성을 배제하기 위해, 섹션 길이(log(섹션 글자수))와 전체 분량을 동시에 통제한 회귀를 추가로 실행하였다.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5. 섹션-길이 통제 회귀: grade ~ 섹션점수 + log(섹션 글자수) + log_n_tokens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400"/>
        <w:gridCol w:w="2072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섹션점수 → 등급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β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VI_G → g_grade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+1.738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내용 신호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IV_G → g_grade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+1.969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내용 신호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II_G → g_grade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+0.464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0.320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길이에 흡수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II_E → e_grade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+0.592 → FE 후 0.723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0.002 / &lt;0.001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★ 내용 신호(업종 통제 후 강화)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IV_E → e_grade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+0.207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0.376</w:t>
            </w:r>
          </w:p>
        </w:tc>
        <w:tc>
          <w:tcPr>
            <w:tcW w:type="dxa" w:w="20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길이에 흡수</w:t>
            </w:r>
          </w:p>
        </w:tc>
      </w:tr>
    </w:tbl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섹션 길이를 통제한 뒤에도 VI_G와 IV_G는 유의한 양의 계수를 유지하는 반면 사업내용(II)의 G 언급은 길이에 흡수된다. E는 반대로 II에 실질 신호가 있고 IV는 흡수된다. 업종·연도 고정효과를 추가한 robustness 분석에서도 VI_G(β=1.755), IV_G(β=2.079), II_E(β=0.723) 모두 견고하였다. 특히 II_E는 업종 통제 후 계수가 강화되어 에너지 섹터 교란을 통제한 뒤에도 환경 서술이 e_grade와 연관됨을 보인다.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G 신호의 VI 국소화가 사용한 expanded 사전의 결과인지 확인하기 위해 의미 임베딩(ko-sroberta-multitask)으로 섹션별 문장을 E/S/G/무관 기준 문장에 최근접 분류하였다(60 firm-year 층화표본).</w:t>
      </w:r>
    </w:p>
    <w:p>
      <w:pPr>
        <w:spacing w:after="0" w:before="100"/>
        <w:jc w:val="center"/>
      </w:pPr>
      <w:r>
        <w:drawing>
          <wp:inline distT="0" distB="0" distL="0" distR="0">
            <wp:extent cx="5191125" cy="2952750"/>
            <wp:effectExtent t="0" r="0" b="0" l="0"/>
            <wp:docPr id="1" name="의미 임베딩 섹션 분류" descr="의미 임베딩 섹션 분류" title="의미 임베딩 섹션 분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그림 6. 의미 임베딩 기반 섹션별 E/S/G 문장 비율. VI 섹션 문장의 97.9%가 G로 분류되어 사전 비의존 측정에서도 거버넌스 신호의 VI 집중이 재현된다.</w:t>
      </w:r>
    </w:p>
    <w:p>
      <w:pPr>
        <w:spacing w:after="80" w:before="60" w:line="300" w:lineRule="auto"/>
        <w:jc w:val="left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표 6. 의미 임베딩 최근접 분류 기반 섹션별 E/S/G 문장 비율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24"/>
        <w:gridCol w:w="1824"/>
        <w:gridCol w:w="1824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섹션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 비율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 비율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3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 비율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II (사업내용)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0.060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0.047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0.106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IV (경영진단)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0.046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0.015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3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0.119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 (기관)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82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0.979 ★</w:t>
            </w:r>
          </w:p>
        </w:tc>
      </w:tr>
    </w:tbl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VI 섹션 문장의 97.9%가 G로 분류되어, 확장 사전에 의존하지 않는 측정 방식에서도 거버넌스 신호의 VI 집중이 재현되었다. E는 II에서 다소 높고 S는 전 섹션에서 미약하다는 패턴도 본선 분석과 일치한다. 다만 이 분류는 기준 문장 설계에 민감하고 층화표본에 기반한다는 한계가 있어, 섹션 국소화 결과의 방향성 교차검증으로만 해석하였다.</w:t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Discussion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5.1 Cheap-talk의 차원별·섹션별 지형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분석에서 가장 분명하게 드러난 결과는 공시 분량의 지배력이다. n_tokens ρ=0.663과 Binary Logit OR≈7.9는 등급이 높은 기업이 사업보고서를 더 길게 쓴다는 사실을 강하게 보여준다. 그러나 "분량이 지배적이다"는 결론 위에서 멈추면 두 번째 층위를 놓친다.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분량과 재무를 통제한 뒤에도 G 어휘(특히 VI 섹션)에는 독립 신호가 남는다. 이 신호가 실질 거버넌스 품질을 반영하는지까지는 본 분석으로 식별할 수 없다. 다만 VI 섹션은 이사회 구성·감사위원회·내부통제 등 법적으로 의무화된 공시 영역이다. 의무공시 프레임워크가 일정한 정보 생산 기능을 한다면, VI에서의 세부 거버넌스 서술은 측정 가능한 성과 차이와 연결될 가능성이 있다. 반면 E 신호는 규모 통제 후 사라져 환경 서술이 주로 기업 규모를 경유하는 간접 경로로 등급과 연관됨을 시사하며, S 신호는 전 분석에서 비유의로 사업보고서 단독으로는 사회 차원 측정이 구조적으로 어렵다는 한계를 보인다.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섹션별 cheap-talk 지형도 차원마다 다르다. II(사업내용)의 G 언급은 길이에 흡수되지만 IV(경영진단)와 VI(기관)의 G 어휘는 길이 통제 후에도 살아남는다. E는 반대로 II가 실질이고 IV가 흡수된다. "자발적 서술 섹션이 더 cheap-talk일 것"이라는 단순 가정이 성립하지 않는다.</w:t>
      </w:r>
    </w:p>
    <w:p>
      <w:pPr>
        <w:spacing w:after="120" w:before="2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5.2 한계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381 firm-year는 수업용 pilot 표본으로 한국 전체 상장기업에 일반화하기 어렵다. KCGS 단일 평가기관 등급만을 사용하였는데, ESG 평가기관 간 등급 불일치가 크다는 점(Berg et al., 2022)을 고려하면 결론이 평가기관 선택에 민감할 수 있다. 사업보고서만을 텍스트 원천으로 사용하여 지속가능경영보고서는 분석에 포함되지 않았으며, S 등급의 경우 A+에 112건이 집중되어 등급 분산이 제한적이었다. esg_year와 fiscal_year 사이의 1년 시차 정의와 데이터 실제 값 사이의 불일치로 인해 텍스트와 등급이 한 해 어긋났을 가능성이 있으며, 이는 연관 추정의 크기를 다소 약화시킬 수 있다. 모든 결과는 연관 관찰이며 인과 추론으로 해석할 수 없다.</w:t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Conclusion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127개 한국 상장기업 381 firm-year 사업보고서를 대상으로 ESG 어휘 강도와 KCGS 등급 간 연관을 분석한 결과, 세 가지 결론을 도출하였다.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첫째, 공시 분량이 ESG 어휘보다 등급과 강하게 연관된다. n_tokens ρ=0.663과 Binary Logit OR≈7.9는 A 이상 등급 기업이 약 2.1배 긴 보고서를 작성한다는 사실을 통계적으로 확인한다.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둘째, 분량과 재무규모를 통제하면 차원별 신호 이질성이 드러난다. G(지배구조) expanded 어휘는 두 층위의 통제 후에도 독립 신호를 유지하는 반면 E는 규모 교란의 영향이 컸으며 S는 모든 모형에서 비유의였다.</w:t>
      </w:r>
    </w:p>
    <w:p>
      <w:pPr>
        <w:spacing w:after="120" w:before="0" w:line="384" w:lineRule="auto"/>
        <w:jc w:val="both"/>
      </w:pPr>
      <w:r>
        <w:rPr>
          <w:rFonts w:ascii="맑은 고딕" w:cs="맑은 고딕" w:eastAsia="맑은 고딕" w:hAnsi="맑은 고딕"/>
          <w:sz w:val="21"/>
          <w:szCs w:val="21"/>
        </w:rPr>
        <w:t xml:space="preserve">셋째, G 신호는 이사회 공시 섹션(VI)에 국소화되어 그곳에서 측정할 때 가장 선명하며(VI_G ↔ g_grade ρ=0.526), 이 패턴은 어휘 사전에 의존하지 않는 의미 임베딩 분류(97.9%)에서도 재현된다. 본 연구는 사업보고서 단독 텍스트에서 차원·섹션 수준 측정 이질성을 정량화한 점에 기여가 있다. 후속 연구에서는 지속가능경영보고서·복수 평가기관 등급·장기 패널을 결합하면 공시 언어와 실제 ESG 성과 간의 관계를 더 세밀하게 추적할 수 있을 것이다.</w:t>
      </w:r>
    </w:p>
    <w:p>
      <w:r>
        <w:br w:type="page"/>
      </w:r>
    </w:p>
    <w:p>
      <w:pPr>
        <w:spacing w:after="120" w:before="300" w:line="384" w:lineRule="auto"/>
        <w:jc w:val="left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References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Berg, F., Koelbel, J. F., &amp; Rigobon, R. (2022). Aggregate confusion: The divergence of ESG ratings. Review of Finance, 26(6), 1315–1344. https://doi.org/10.1093/rof/rfac033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금융감독원. (n.d.). OpenDART API 개발가이드. 전자공시시스템. https://opendart.fss.or.kr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한국ESG기준원. (n.d.). ESG 평가 등급 안내. https://www.cgs.or.kr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이재윤. (2026). 비정형데이터분석 ESG DART 기말 프로젝트 안내 [수업 자료]. 비정형데이터분석.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Loughran, T., &amp; McDonald, B. (2011). When is a liability not a liability? Textual analysis, dictionaries, and 10-Ks. The Journal of Finance, 66(1), 35–65. https://doi.org/10.1111/j.1540-6261.2010.01625.x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Park, B. (2024). Kiwipiepy: A morphological analyzer for Korean. https://github.com/bab2min/Kiwi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Pedregosa, F., et al. (2011). Scikit-learn: Machine learning in Python. Journal of Machine Learning Research, 12, 2825–2830.</w:t>
      </w:r>
    </w:p>
    <w:p>
      <w:pPr>
        <w:spacing w:after="100" w:before="0" w:line="384" w:lineRule="auto"/>
        <w:ind w:left="360" w:hanging="36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Řehůřek, R., &amp; Sojka, P. (2010). Software framework for topic modelling with large corpora. In Proceedings of LREC 2010 Workshop on New Challenges for NLP Frameworks (pp. 45–50).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fd129ee3ff6730fa1da681a110dc2868b91585.png"/><Relationship Id="rId9" Type="http://schemas.openxmlformats.org/officeDocument/2006/relationships/image" Target="media/9b57b4af43926f2e4a4803a7ecb51a964cdabc38.png"/><Relationship Id="rId10" Type="http://schemas.openxmlformats.org/officeDocument/2006/relationships/image" Target="media/7b9ae2b53fa30a33fffde7749b4781411908c1a4.png"/><Relationship Id="rId11" Type="http://schemas.openxmlformats.org/officeDocument/2006/relationships/image" Target="media/89c06ad98c1ad118bb6ca76d4596ba01146632ee.png"/><Relationship Id="rId12" Type="http://schemas.openxmlformats.org/officeDocument/2006/relationships/image" Target="media/9729ec6bcbb2eccefbfa0b52cc198b38f921d972.png"/><Relationship Id="rId13" Type="http://schemas.openxmlformats.org/officeDocument/2006/relationships/image" Target="media/22db96c09482cadec20266afc59a1ff039885f1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2026-06-01T01:34:35.991Z</dcterms:created>
  <dcterms:modified xsi:type="dcterms:W3CDTF">2026-06-01T01:34:35.993Z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