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jc w:val="center"/>
      </w:pPr>
      <w:r>
        <w:rPr>
          <w:rFonts w:ascii="Malgun Gothic" w:cs="Malgun Gothic" w:eastAsia="Malgun Gothic" w:hAnsi="Malgun Gothic"/>
          <w:b/>
          <w:bCs/>
          <w:sz w:val="32"/>
          <w:szCs w:val="32"/>
        </w:rPr>
        <w:t xml:space="preserve">[예시 제목] 환경 공시 표현의 구체성은 KCGS 환경 등급과 어떻게 연결되는가</w:t>
      </w:r>
    </w:p>
    <w:p>
      <w:pPr>
        <w:spacing w:after="240" w:line="384"/>
        <w:jc w:val="center"/>
      </w:pPr>
      <w:r>
        <w:rPr>
          <w:rFonts w:ascii="Malgun Gothic" w:cs="Malgun Gothic" w:eastAsia="Malgun Gothic" w:hAnsi="Malgun Gothic"/>
          <w:sz w:val="21"/>
          <w:szCs w:val="21"/>
        </w:rPr>
        <w:t xml:space="preserve">홍길동, 김가천, 이데이터</w:t>
      </w:r>
    </w:p>
    <w:p>
      <w:pPr>
        <w:spacing w:after="160" w:line="300"/>
        <w:jc w:val="center"/>
      </w:pPr>
      <w:r>
        <w:rPr>
          <w:rFonts w:ascii="Malgun Gothic" w:cs="Malgun Gothic" w:eastAsia="Malgun Gothic" w:hAnsi="Malgun Gothic"/>
          <w:color w:val="555555"/>
          <w:sz w:val="19"/>
          <w:szCs w:val="19"/>
        </w:rPr>
        <w:t xml:space="preserve">비정형데이터분석 · 예시팀</w:t>
      </w:r>
    </w:p>
    <w:p>
      <w:pPr>
        <w:spacing w:after="120" w:before="80" w:line="300"/>
        <w:jc w:val="both"/>
      </w:pPr>
      <w:r>
        <w:rPr>
          <w:rFonts w:ascii="Malgun Gothic" w:cs="Malgun Gothic" w:eastAsia="Malgun Gothic" w:hAnsi="Malgun Gothic"/>
          <w:i/>
          <w:iCs/>
          <w:color w:val="555555"/>
          <w:sz w:val="20"/>
          <w:szCs w:val="20"/>
        </w:rPr>
        <w:t xml:space="preserve">Illustrative sample: 제목, 저자명, 팀명, 수치, 문장, 주제, 결론은 모두 예시입니다. 논문형 구조만 참고하고 그대로 가져다 쓰지 마세요.</w:t>
      </w:r>
    </w:p>
    <w:p>
      <w:pPr>
        <w:pStyle w:val="Heading1"/>
        <w:spacing w:after="120" w:before="260" w:line="384"/>
      </w:pPr>
      <w:r>
        <w:rPr>
          <w:rFonts w:ascii="Malgun Gothic" w:cs="Malgun Gothic" w:eastAsia="Malgun Gothic" w:hAnsi="Malgun Gothic"/>
          <w:b/>
          <w:bCs/>
          <w:sz w:val="26"/>
          <w:szCs w:val="26"/>
        </w:rPr>
        <w:t xml:space="preserve">Abstract</w:t>
      </w:r>
    </w:p>
    <w:p>
      <w:pPr>
        <w:spacing w:after="120" w:before="0" w:line="360"/>
        <w:jc w:val="both"/>
      </w:pPr>
      <w:r>
        <w:rPr>
          <w:rFonts w:ascii="Malgun Gothic" w:cs="Malgun Gothic" w:eastAsia="Malgun Gothic" w:hAnsi="Malgun Gothic"/>
          <w:sz w:val="20"/>
          <w:szCs w:val="20"/>
        </w:rPr>
        <w:t xml:space="preserve">본 보고서는 DART 사업보고서의 환경 관련 공시 표현이 KCGS 환경 등급과 어떤 관계를 갖는지 분석한다. 127개 기업의 2022-2024 회계연도 사업보고서에서 ESG 관련 문장을 추출하고, seed dictionary와 expanded dictionary 기반 TF-IDF 점수를 구성했다. 핵심 질문은 단순히 환경 단어가 많이 등장하는 기업이 높은 등급을 받는지, 아니면 구체적 실행 항목을 포함한 표현이 더 의미 있는 신호를 주는지이다. 예시 분석에서는 expanded dictionary 점수가 seed 점수보다 환경 등급과 더 높은 순위상관을 보였지만, 전체 단어 수를 통제하면 효과 크기는 약해졌다. 이는 DART의 환경 공시 언어가 외부 ESG 등급과 일부 연결되지만, 공시 장황함과 실제 성과를 구분해 해석해야 함을 시사한다. 본 결과는 연관성 분석이며 인과관계로 해석하지 않는다.</w:t>
      </w:r>
    </w:p>
    <w:p>
      <w:pPr>
        <w:pStyle w:val="Heading1"/>
        <w:spacing w:after="120" w:before="260" w:line="384"/>
      </w:pPr>
      <w:r>
        <w:rPr>
          <w:rFonts w:ascii="Malgun Gothic" w:cs="Malgun Gothic" w:eastAsia="Malgun Gothic" w:hAnsi="Malgun Gothic"/>
          <w:b/>
          <w:bCs/>
          <w:sz w:val="26"/>
          <w:szCs w:val="26"/>
        </w:rPr>
        <w:t xml:space="preserve">1. Introduction</w:t>
      </w:r>
    </w:p>
    <w:p>
      <w:pPr>
        <w:spacing w:after="120" w:before="0" w:line="384"/>
        <w:jc w:val="both"/>
      </w:pPr>
      <w:r>
        <w:rPr>
          <w:rFonts w:ascii="Malgun Gothic" w:cs="Malgun Gothic" w:eastAsia="Malgun Gothic" w:hAnsi="Malgun Gothic"/>
          <w:sz w:val="21"/>
          <w:szCs w:val="21"/>
        </w:rPr>
        <w:t xml:space="preserve">기업의 ESG 공시는 외부 이해관계자가 기업의 환경·사회·지배구조 활동을 이해하는 중요한 텍스트 자료다. 그러나 사업보고서에 ESG 단어가 많이 등장한다고 해서 곧바로 높은 ESG 성과를 의미한다고 보기는 어렵다. 어떤 기업은 실제 활동이 많아서 구체적으로 설명할 수 있고, 어떤 기업은 규범적 표현을 반복하면서 장황한 공시를 만들 수도 있다.</w:t>
      </w:r>
    </w:p>
    <w:p>
      <w:pPr>
        <w:spacing w:after="120" w:before="0" w:line="384"/>
        <w:jc w:val="both"/>
      </w:pPr>
      <w:r>
        <w:rPr>
          <w:rFonts w:ascii="Malgun Gothic" w:cs="Malgun Gothic" w:eastAsia="Malgun Gothic" w:hAnsi="Malgun Gothic"/>
          <w:sz w:val="21"/>
          <w:szCs w:val="21"/>
        </w:rPr>
        <w:t xml:space="preserve">본 Short Research Paper의 주요 연구질문은 다음과 같다. DART 사업보고서의 환경 공시 표현은 KCGS 환경 등급과 어떤 방식으로 연결되는가? 특히 단순 seed dictionary 점수와 expanded dictionary 점수 중 어느 쪽이 환경 등급과 더 일관된 관계를 보이는가?</w:t>
      </w:r>
    </w:p>
    <w:p>
      <w:pPr>
        <w:spacing w:after="120" w:before="0" w:line="384"/>
        <w:jc w:val="both"/>
      </w:pPr>
      <w:r>
        <w:rPr>
          <w:rFonts w:ascii="Malgun Gothic" w:cs="Malgun Gothic" w:eastAsia="Malgun Gothic" w:hAnsi="Malgun Gothic"/>
          <w:sz w:val="21"/>
          <w:szCs w:val="21"/>
        </w:rPr>
        <w:t xml:space="preserve">이 질문의 contribution은 분석 방법을 많이 비교하는 데 있지 않다. 본 보고서는 환경 공시 언어를 측정할 때 단어의 양보다 표현의 구체성과 후보 단어 필터링이 중요할 수 있음을 보여주는 데 초점을 둔다.</w:t>
      </w:r>
    </w:p>
    <w:p>
      <w:pPr>
        <w:pStyle w:val="Heading1"/>
        <w:spacing w:after="120" w:before="260" w:line="384"/>
      </w:pPr>
      <w:r>
        <w:rPr>
          <w:rFonts w:ascii="Malgun Gothic" w:cs="Malgun Gothic" w:eastAsia="Malgun Gothic" w:hAnsi="Malgun Gothic"/>
          <w:b/>
          <w:bCs/>
          <w:sz w:val="26"/>
          <w:szCs w:val="26"/>
        </w:rPr>
        <w:t xml:space="preserve">2. Data</w:t>
      </w:r>
    </w:p>
    <w:p>
      <w:pPr>
        <w:spacing w:after="120" w:before="0" w:line="384"/>
        <w:jc w:val="both"/>
      </w:pPr>
      <w:r>
        <w:rPr>
          <w:rFonts w:ascii="Malgun Gothic" w:cs="Malgun Gothic" w:eastAsia="Malgun Gothic" w:hAnsi="Malgun Gothic"/>
          <w:sz w:val="21"/>
          <w:szCs w:val="21"/>
        </w:rPr>
        <w:t xml:space="preserve">분석 표본은 수업에서 제공한 127개 기업의 2022-2024 회계연도, 최대 381개 firm-year이다. ESG 등급은 한국ESG기준원(KCGS)의 평가연도를 사용하며, 수업 기준에 따라 esg_year = fiscal_year + 1로 정렬했다. 예를 들어 2024 회계연도 사업보고서는 2025년 ESG 등급과 연결한다.</w:t>
      </w:r>
    </w:p>
    <w:p>
      <w:pPr>
        <w:spacing w:after="120" w:before="0" w:line="384"/>
        <w:jc w:val="both"/>
      </w:pPr>
      <w:r>
        <w:rPr>
          <w:rFonts w:ascii="Malgun Gothic" w:cs="Malgun Gothic" w:eastAsia="Malgun Gothic" w:hAnsi="Malgun Gothic"/>
          <w:sz w:val="21"/>
          <w:szCs w:val="21"/>
        </w:rPr>
        <w:t xml:space="preserve">DART 사업보고서는 II. 사업의 내용, IV. 이사의 경영진단 및 분석의견, VI. 이사회 등 회사의 기관에 관한 사항을 중심으로 수집했다. 예시 분석에서는 원문 수집 또는 텍스트 추출에 실패한 행을 가짜 0으로 채우지 않고 분석 corpus에서 제외했다.</w:t>
      </w:r>
    </w:p>
    <w:p>
      <w:pPr>
        <w:spacing w:after="80" w:before="80" w:line="300"/>
        <w:jc w:val="center"/>
      </w:pPr>
      <w:r>
        <w:rPr>
          <w:rFonts w:ascii="Malgun Gothic" w:cs="Malgun Gothic" w:eastAsia="Malgun Gothic" w:hAnsi="Malgun Gothic"/>
          <w:b/>
          <w:bCs/>
          <w:sz w:val="19"/>
          <w:szCs w:val="19"/>
        </w:rPr>
        <w:t xml:space="preserve">Table 1. 분석 표본 구성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c>
          <w:tcPr>
            <w:tcW w:type="dxa" w:w="2300"/>
            <w:tcBorders>
              <w:top w:val="single" w:color="BFBFBF" w:sz="1"/>
              <w:left w:val="single" w:color="BFBFBF" w:sz="1"/>
              <w:bottom w:val="single" w:color="BFBFBF" w:sz="1"/>
              <w:right w:val="single" w:color="BFBFBF" w:sz="1"/>
            </w:tcBorders>
            <w:shd w:fill="EAF2F8" w:val="clear"/>
            <w:tcMar>
              <w:top w:type="dxa" w:w="90"/>
              <w:left w:type="dxa" w:w="120"/>
              <w:bottom w:type="dxa" w:w="90"/>
              <w:right w:type="dxa" w:w="120"/>
            </w:tcMar>
            <w:vAlign w:val="center"/>
          </w:tcPr>
          <w:p>
            <w:pPr>
              <w:spacing w:after="0" w:line="300"/>
            </w:pPr>
            <w:r>
              <w:rPr>
                <w:rFonts w:ascii="Malgun Gothic" w:cs="Malgun Gothic" w:eastAsia="Malgun Gothic" w:hAnsi="Malgun Gothic"/>
                <w:b/>
                <w:bCs/>
                <w:sz w:val="19"/>
                <w:szCs w:val="19"/>
              </w:rPr>
              <w:t xml:space="preserve">항목</w:t>
            </w:r>
          </w:p>
        </w:tc>
        <w:tc>
          <w:tcPr>
            <w:tcW w:type="dxa" w:w="1500"/>
            <w:tcBorders>
              <w:top w:val="single" w:color="BFBFBF" w:sz="1"/>
              <w:left w:val="single" w:color="BFBFBF" w:sz="1"/>
              <w:bottom w:val="single" w:color="BFBFBF" w:sz="1"/>
              <w:right w:val="single" w:color="BFBFBF" w:sz="1"/>
            </w:tcBorders>
            <w:shd w:fill="EAF2F8" w:val="clear"/>
            <w:tcMar>
              <w:top w:type="dxa" w:w="90"/>
              <w:left w:type="dxa" w:w="120"/>
              <w:bottom w:type="dxa" w:w="90"/>
              <w:right w:type="dxa" w:w="120"/>
            </w:tcMar>
            <w:vAlign w:val="center"/>
          </w:tcPr>
          <w:p>
            <w:pPr>
              <w:spacing w:after="0" w:line="300"/>
            </w:pPr>
            <w:r>
              <w:rPr>
                <w:rFonts w:ascii="Malgun Gothic" w:cs="Malgun Gothic" w:eastAsia="Malgun Gothic" w:hAnsi="Malgun Gothic"/>
                <w:b/>
                <w:bCs/>
                <w:sz w:val="19"/>
                <w:szCs w:val="19"/>
              </w:rPr>
              <w:t xml:space="preserve">값</w:t>
            </w:r>
          </w:p>
        </w:tc>
        <w:tc>
          <w:tcPr>
            <w:tcW w:type="dxa" w:w="5560"/>
            <w:tcBorders>
              <w:top w:val="single" w:color="BFBFBF" w:sz="1"/>
              <w:left w:val="single" w:color="BFBFBF" w:sz="1"/>
              <w:bottom w:val="single" w:color="BFBFBF" w:sz="1"/>
              <w:right w:val="single" w:color="BFBFBF" w:sz="1"/>
            </w:tcBorders>
            <w:shd w:fill="EAF2F8" w:val="clear"/>
            <w:tcMar>
              <w:top w:type="dxa" w:w="90"/>
              <w:left w:type="dxa" w:w="120"/>
              <w:bottom w:type="dxa" w:w="90"/>
              <w:right w:type="dxa" w:w="120"/>
            </w:tcMar>
            <w:vAlign w:val="center"/>
          </w:tcPr>
          <w:p>
            <w:pPr>
              <w:spacing w:after="0" w:line="300"/>
            </w:pPr>
            <w:r>
              <w:rPr>
                <w:rFonts w:ascii="Malgun Gothic" w:cs="Malgun Gothic" w:eastAsia="Malgun Gothic" w:hAnsi="Malgun Gothic"/>
                <w:b/>
                <w:bCs/>
                <w:sz w:val="19"/>
                <w:szCs w:val="19"/>
              </w:rPr>
              <w:t xml:space="preserve">해석</w:t>
            </w:r>
          </w:p>
        </w:tc>
      </w:tr>
      <w:tr>
        <w:tc>
          <w:tcPr>
            <w:tcW w:type="dxa" w:w="23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최대 firm-year</w:t>
            </w:r>
          </w:p>
        </w:tc>
        <w:tc>
          <w:tcPr>
            <w:tcW w:type="dxa" w:w="15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381</w:t>
            </w:r>
          </w:p>
        </w:tc>
        <w:tc>
          <w:tcPr>
            <w:tcW w:type="dxa" w:w="556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127개 기업 × 3개 회계연도</w:t>
            </w:r>
          </w:p>
        </w:tc>
      </w:tr>
      <w:tr>
        <w:tc>
          <w:tcPr>
            <w:tcW w:type="dxa" w:w="23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분석 corpus</w:t>
            </w:r>
          </w:p>
        </w:tc>
        <w:tc>
          <w:tcPr>
            <w:tcW w:type="dxa" w:w="15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354</w:t>
            </w:r>
          </w:p>
        </w:tc>
        <w:tc>
          <w:tcPr>
            <w:tcW w:type="dxa" w:w="556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텍스트 추출 성공 firm-year 예시</w:t>
            </w:r>
          </w:p>
        </w:tc>
      </w:tr>
      <w:tr>
        <w:tc>
          <w:tcPr>
            <w:tcW w:type="dxa" w:w="23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회귀 패널</w:t>
            </w:r>
          </w:p>
        </w:tc>
        <w:tc>
          <w:tcPr>
            <w:tcW w:type="dxa" w:w="15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348</w:t>
            </w:r>
          </w:p>
        </w:tc>
        <w:tc>
          <w:tcPr>
            <w:tcW w:type="dxa" w:w="556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feature와 등급이 모두 존재하는 관측치 예시</w:t>
            </w:r>
          </w:p>
        </w:tc>
      </w:tr>
    </w:tbl>
    <w:p>
      <w:pPr>
        <w:spacing w:after="120" w:before="80" w:line="300"/>
        <w:jc w:val="both"/>
      </w:pPr>
      <w:r>
        <w:rPr>
          <w:rFonts w:ascii="Malgun Gothic" w:cs="Malgun Gothic" w:eastAsia="Malgun Gothic" w:hAnsi="Malgun Gothic"/>
          <w:i/>
          <w:iCs/>
          <w:color w:val="555555"/>
          <w:sz w:val="20"/>
          <w:szCs w:val="20"/>
        </w:rPr>
        <w:t xml:space="preserve">위 표의 숫자는 sample paper 작성을 위한 illustrative values입니다. 실제 제출 보고서에는 팀이 만든 최종 corpus와 회귀 패널 숫자를 적어야 합니다.</w:t>
      </w:r>
    </w:p>
    <w:p>
      <w:pPr>
        <w:pStyle w:val="Heading1"/>
        <w:spacing w:after="120" w:before="260" w:line="384"/>
      </w:pPr>
      <w:r>
        <w:rPr>
          <w:rFonts w:ascii="Malgun Gothic" w:cs="Malgun Gothic" w:eastAsia="Malgun Gothic" w:hAnsi="Malgun Gothic"/>
          <w:b/>
          <w:bCs/>
          <w:sz w:val="26"/>
          <w:szCs w:val="26"/>
        </w:rPr>
        <w:t xml:space="preserve">3. Method</w:t>
      </w:r>
    </w:p>
    <w:p>
      <w:pPr>
        <w:spacing w:after="120" w:before="0" w:line="384"/>
        <w:jc w:val="both"/>
      </w:pPr>
      <w:r>
        <w:rPr>
          <w:rFonts w:ascii="Malgun Gothic" w:cs="Malgun Gothic" w:eastAsia="Malgun Gothic" w:hAnsi="Malgun Gothic"/>
          <w:sz w:val="21"/>
          <w:szCs w:val="21"/>
        </w:rPr>
        <w:t xml:space="preserve">환경 공시 언어를 측정하기 위해 두 가지 TF-IDF feature를 비교했다. 첫째, seed score는 교수자가 제공한 환경 seed 단어의 TF-IDF 값을 합산한 값이다. 둘째, expanded score는 seed 단어 주변의 fastText 유사어 후보를 찾은 뒤, 회사명·일반 ESG boilerplate·의미가 모호한 단어를 제거해 만든 확장 사전 기반 점수다.</w:t>
      </w:r>
    </w:p>
    <w:p>
      <w:pPr>
        <w:spacing w:after="120" w:before="0" w:line="384"/>
        <w:jc w:val="both"/>
      </w:pPr>
      <w:r>
        <w:rPr>
          <w:rFonts w:ascii="Malgun Gothic" w:cs="Malgun Gothic" w:eastAsia="Malgun Gothic" w:hAnsi="Malgun Gothic"/>
          <w:sz w:val="21"/>
          <w:szCs w:val="21"/>
        </w:rPr>
        <w:t xml:space="preserve">본 예시는 expanded dictionary의 threshold를 0.85로 설정했다. threshold를 낮추면 후보 단어가 늘지만 잡음도 늘어났고, threshold를 높이면 구체적인 환경 실행 단어 일부가 제외되었다.</w:t>
      </w:r>
    </w:p>
    <w:p>
      <w:pPr>
        <w:spacing w:after="120" w:before="0" w:line="384"/>
        <w:jc w:val="both"/>
      </w:pPr>
      <w:r>
        <w:rPr>
          <w:rFonts w:ascii="Malgun Gothic" w:cs="Malgun Gothic" w:eastAsia="Malgun Gothic" w:hAnsi="Malgun Gothic"/>
          <w:sz w:val="21"/>
          <w:szCs w:val="21"/>
        </w:rPr>
        <w:t xml:space="preserve">회귀분석 전에 Spearman 순위상관을 확인했다. ESG 등급은 서열변수이므로, 텍스트 점수가 높은 기업이 대체로 높은 등급 순위에 놓이는지를 먼저 보는 것이 자연스럽다. 이후 baseline OLS를 사용해 결과를 직관적으로 해석하고, 전체 단어 수를 cheap-talk 통제 변수로 포함했다.</w:t>
      </w:r>
    </w:p>
    <w:p>
      <w:pPr>
        <w:pStyle w:val="Heading1"/>
        <w:spacing w:after="120" w:before="260" w:line="384"/>
      </w:pPr>
      <w:r>
        <w:rPr>
          <w:rFonts w:ascii="Malgun Gothic" w:cs="Malgun Gothic" w:eastAsia="Malgun Gothic" w:hAnsi="Malgun Gothic"/>
          <w:b/>
          <w:bCs/>
          <w:sz w:val="26"/>
          <w:szCs w:val="26"/>
        </w:rPr>
        <w:t xml:space="preserve">4. Results</w:t>
      </w:r>
    </w:p>
    <w:p>
      <w:pPr>
        <w:spacing w:after="80" w:before="80" w:line="300"/>
        <w:jc w:val="center"/>
      </w:pPr>
      <w:r>
        <w:rPr>
          <w:rFonts w:ascii="Malgun Gothic" w:cs="Malgun Gothic" w:eastAsia="Malgun Gothic" w:hAnsi="Malgun Gothic"/>
          <w:b/>
          <w:bCs/>
          <w:sz w:val="19"/>
          <w:szCs w:val="19"/>
        </w:rPr>
        <w:t xml:space="preserve">Table 2. Feature validity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1100"/>
        <w:gridCol w:w="3560"/>
      </w:tblGrid>
      <w:tr>
        <w:tc>
          <w:tcPr>
            <w:tcW w:type="dxa" w:w="1900"/>
            <w:tcBorders>
              <w:top w:val="single" w:color="BFBFBF" w:sz="1"/>
              <w:left w:val="single" w:color="BFBFBF" w:sz="1"/>
              <w:bottom w:val="single" w:color="BFBFBF" w:sz="1"/>
              <w:right w:val="single" w:color="BFBFBF" w:sz="1"/>
            </w:tcBorders>
            <w:shd w:fill="EAF2F8" w:val="clear"/>
            <w:tcMar>
              <w:top w:type="dxa" w:w="90"/>
              <w:left w:type="dxa" w:w="120"/>
              <w:bottom w:type="dxa" w:w="90"/>
              <w:right w:type="dxa" w:w="120"/>
            </w:tcMar>
            <w:vAlign w:val="center"/>
          </w:tcPr>
          <w:p>
            <w:pPr>
              <w:spacing w:after="0" w:line="300"/>
            </w:pPr>
            <w:r>
              <w:rPr>
                <w:rFonts w:ascii="Malgun Gothic" w:cs="Malgun Gothic" w:eastAsia="Malgun Gothic" w:hAnsi="Malgun Gothic"/>
                <w:b/>
                <w:bCs/>
                <w:sz w:val="19"/>
                <w:szCs w:val="19"/>
              </w:rPr>
              <w:t xml:space="preserve">Feature</w:t>
            </w:r>
          </w:p>
        </w:tc>
        <w:tc>
          <w:tcPr>
            <w:tcW w:type="dxa" w:w="1300"/>
            <w:tcBorders>
              <w:top w:val="single" w:color="BFBFBF" w:sz="1"/>
              <w:left w:val="single" w:color="BFBFBF" w:sz="1"/>
              <w:bottom w:val="single" w:color="BFBFBF" w:sz="1"/>
              <w:right w:val="single" w:color="BFBFBF" w:sz="1"/>
            </w:tcBorders>
            <w:shd w:fill="EAF2F8" w:val="clear"/>
            <w:tcMar>
              <w:top w:type="dxa" w:w="90"/>
              <w:left w:type="dxa" w:w="120"/>
              <w:bottom w:type="dxa" w:w="90"/>
              <w:right w:type="dxa" w:w="120"/>
            </w:tcMar>
            <w:vAlign w:val="center"/>
          </w:tcPr>
          <w:p>
            <w:pPr>
              <w:spacing w:after="0" w:line="300"/>
            </w:pPr>
            <w:r>
              <w:rPr>
                <w:rFonts w:ascii="Malgun Gothic" w:cs="Malgun Gothic" w:eastAsia="Malgun Gothic" w:hAnsi="Malgun Gothic"/>
                <w:b/>
                <w:bCs/>
                <w:sz w:val="19"/>
                <w:szCs w:val="19"/>
              </w:rPr>
              <w:t xml:space="preserve">Grade</w:t>
            </w:r>
          </w:p>
        </w:tc>
        <w:tc>
          <w:tcPr>
            <w:tcW w:type="dxa" w:w="1500"/>
            <w:tcBorders>
              <w:top w:val="single" w:color="BFBFBF" w:sz="1"/>
              <w:left w:val="single" w:color="BFBFBF" w:sz="1"/>
              <w:bottom w:val="single" w:color="BFBFBF" w:sz="1"/>
              <w:right w:val="single" w:color="BFBFBF" w:sz="1"/>
            </w:tcBorders>
            <w:shd w:fill="EAF2F8" w:val="clear"/>
            <w:tcMar>
              <w:top w:type="dxa" w:w="90"/>
              <w:left w:type="dxa" w:w="120"/>
              <w:bottom w:type="dxa" w:w="90"/>
              <w:right w:type="dxa" w:w="120"/>
            </w:tcMar>
            <w:vAlign w:val="center"/>
          </w:tcPr>
          <w:p>
            <w:pPr>
              <w:spacing w:after="0" w:line="300"/>
            </w:pPr>
            <w:r>
              <w:rPr>
                <w:rFonts w:ascii="Malgun Gothic" w:cs="Malgun Gothic" w:eastAsia="Malgun Gothic" w:hAnsi="Malgun Gothic"/>
                <w:b/>
                <w:bCs/>
                <w:sz w:val="19"/>
                <w:szCs w:val="19"/>
              </w:rPr>
              <w:t xml:space="preserve">Spearman rho</w:t>
            </w:r>
          </w:p>
        </w:tc>
        <w:tc>
          <w:tcPr>
            <w:tcW w:type="dxa" w:w="1100"/>
            <w:tcBorders>
              <w:top w:val="single" w:color="BFBFBF" w:sz="1"/>
              <w:left w:val="single" w:color="BFBFBF" w:sz="1"/>
              <w:bottom w:val="single" w:color="BFBFBF" w:sz="1"/>
              <w:right w:val="single" w:color="BFBFBF" w:sz="1"/>
            </w:tcBorders>
            <w:shd w:fill="EAF2F8" w:val="clear"/>
            <w:tcMar>
              <w:top w:type="dxa" w:w="90"/>
              <w:left w:type="dxa" w:w="120"/>
              <w:bottom w:type="dxa" w:w="90"/>
              <w:right w:type="dxa" w:w="120"/>
            </w:tcMar>
            <w:vAlign w:val="center"/>
          </w:tcPr>
          <w:p>
            <w:pPr>
              <w:spacing w:after="0" w:line="300"/>
            </w:pPr>
            <w:r>
              <w:rPr>
                <w:rFonts w:ascii="Malgun Gothic" w:cs="Malgun Gothic" w:eastAsia="Malgun Gothic" w:hAnsi="Malgun Gothic"/>
                <w:b/>
                <w:bCs/>
                <w:sz w:val="19"/>
                <w:szCs w:val="19"/>
              </w:rPr>
              <w:t xml:space="preserve">p-value</w:t>
            </w:r>
          </w:p>
        </w:tc>
        <w:tc>
          <w:tcPr>
            <w:tcW w:type="dxa" w:w="3560"/>
            <w:tcBorders>
              <w:top w:val="single" w:color="BFBFBF" w:sz="1"/>
              <w:left w:val="single" w:color="BFBFBF" w:sz="1"/>
              <w:bottom w:val="single" w:color="BFBFBF" w:sz="1"/>
              <w:right w:val="single" w:color="BFBFBF" w:sz="1"/>
            </w:tcBorders>
            <w:shd w:fill="EAF2F8" w:val="clear"/>
            <w:tcMar>
              <w:top w:type="dxa" w:w="90"/>
              <w:left w:type="dxa" w:w="120"/>
              <w:bottom w:type="dxa" w:w="90"/>
              <w:right w:type="dxa" w:w="120"/>
            </w:tcMar>
            <w:vAlign w:val="center"/>
          </w:tcPr>
          <w:p>
            <w:pPr>
              <w:spacing w:after="0" w:line="300"/>
            </w:pPr>
            <w:r>
              <w:rPr>
                <w:rFonts w:ascii="Malgun Gothic" w:cs="Malgun Gothic" w:eastAsia="Malgun Gothic" w:hAnsi="Malgun Gothic"/>
                <w:b/>
                <w:bCs/>
                <w:sz w:val="19"/>
                <w:szCs w:val="19"/>
              </w:rPr>
              <w:t xml:space="preserve">해석</w:t>
            </w:r>
          </w:p>
        </w:tc>
      </w:tr>
      <w:tr>
        <w:tc>
          <w:tcPr>
            <w:tcW w:type="dxa" w:w="19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seed_tfidf_E</w:t>
            </w:r>
          </w:p>
        </w:tc>
        <w:tc>
          <w:tcPr>
            <w:tcW w:type="dxa" w:w="13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E grade</w:t>
            </w:r>
          </w:p>
        </w:tc>
        <w:tc>
          <w:tcPr>
            <w:tcW w:type="dxa" w:w="15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0.05</w:t>
            </w:r>
          </w:p>
        </w:tc>
        <w:tc>
          <w:tcPr>
            <w:tcW w:type="dxa" w:w="11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0.31</w:t>
            </w:r>
          </w:p>
        </w:tc>
        <w:tc>
          <w:tcPr>
            <w:tcW w:type="dxa" w:w="356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뚜렷한 순위 관계 없음</w:t>
            </w:r>
          </w:p>
        </w:tc>
      </w:tr>
      <w:tr>
        <w:tc>
          <w:tcPr>
            <w:tcW w:type="dxa" w:w="19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expanded_tfidf_E</w:t>
            </w:r>
          </w:p>
        </w:tc>
        <w:tc>
          <w:tcPr>
            <w:tcW w:type="dxa" w:w="13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E grade</w:t>
            </w:r>
          </w:p>
        </w:tc>
        <w:tc>
          <w:tcPr>
            <w:tcW w:type="dxa" w:w="15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0.18</w:t>
            </w:r>
          </w:p>
        </w:tc>
        <w:tc>
          <w:tcPr>
            <w:tcW w:type="dxa" w:w="11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0.01</w:t>
            </w:r>
          </w:p>
        </w:tc>
        <w:tc>
          <w:tcPr>
            <w:tcW w:type="dxa" w:w="356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약한 양의 관계</w:t>
            </w:r>
          </w:p>
        </w:tc>
      </w:tr>
      <w:tr>
        <w:tc>
          <w:tcPr>
            <w:tcW w:type="dxa" w:w="19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total_word_count</w:t>
            </w:r>
          </w:p>
        </w:tc>
        <w:tc>
          <w:tcPr>
            <w:tcW w:type="dxa" w:w="13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E grade</w:t>
            </w:r>
          </w:p>
        </w:tc>
        <w:tc>
          <w:tcPr>
            <w:tcW w:type="dxa" w:w="15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0.14</w:t>
            </w:r>
          </w:p>
        </w:tc>
        <w:tc>
          <w:tcPr>
            <w:tcW w:type="dxa" w:w="11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0.04</w:t>
            </w:r>
          </w:p>
        </w:tc>
        <w:tc>
          <w:tcPr>
            <w:tcW w:type="dxa" w:w="356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공시 장황함 가능성</w:t>
            </w:r>
          </w:p>
        </w:tc>
      </w:tr>
    </w:tbl>
    <w:p>
      <w:pPr>
        <w:spacing w:after="120" w:before="0" w:line="384"/>
        <w:jc w:val="both"/>
      </w:pPr>
      <w:r>
        <w:rPr>
          <w:rFonts w:ascii="Malgun Gothic" w:cs="Malgun Gothic" w:eastAsia="Malgun Gothic" w:hAnsi="Malgun Gothic"/>
          <w:sz w:val="21"/>
          <w:szCs w:val="21"/>
        </w:rPr>
        <w:t xml:space="preserve">Table 2는 expanded dictionary 점수가 seed 점수보다 환경 등급과 더 분명한 순위 관계를 보이는 예시를 보여준다. 하지만 rho = 0.18은 강한 예측력이 아니라 약한 연관성이다. 따라서 이 결과만으로 환경 성과를 직접 측정했다고 말할 수는 없다.</w:t>
      </w:r>
    </w:p>
    <w:p>
      <w:pPr>
        <w:spacing w:after="80" w:before="80" w:line="300"/>
        <w:jc w:val="center"/>
      </w:pPr>
      <w:r>
        <w:rPr>
          <w:rFonts w:ascii="Malgun Gothic" w:cs="Malgun Gothic" w:eastAsia="Malgun Gothic" w:hAnsi="Malgun Gothic"/>
          <w:b/>
          <w:bCs/>
          <w:sz w:val="19"/>
          <w:szCs w:val="19"/>
        </w:rPr>
        <w:t xml:space="preserve">Table 3. Baseline OLS 결과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FBFBF" w:sz="1"/>
              <w:left w:val="single" w:color="BFBFBF" w:sz="1"/>
              <w:bottom w:val="single" w:color="BFBFBF" w:sz="1"/>
              <w:right w:val="single" w:color="BFBFBF" w:sz="1"/>
            </w:tcBorders>
            <w:shd w:fill="EAF2F8" w:val="clear"/>
            <w:tcMar>
              <w:top w:type="dxa" w:w="90"/>
              <w:left w:type="dxa" w:w="120"/>
              <w:bottom w:type="dxa" w:w="90"/>
              <w:right w:type="dxa" w:w="120"/>
            </w:tcMar>
            <w:vAlign w:val="center"/>
          </w:tcPr>
          <w:p>
            <w:pPr>
              <w:spacing w:after="0" w:line="300"/>
            </w:pPr>
            <w:r>
              <w:rPr>
                <w:rFonts w:ascii="Malgun Gothic" w:cs="Malgun Gothic" w:eastAsia="Malgun Gothic" w:hAnsi="Malgun Gothic"/>
                <w:b/>
                <w:bCs/>
                <w:sz w:val="19"/>
                <w:szCs w:val="19"/>
              </w:rPr>
              <w:t xml:space="preserve">변수</w:t>
            </w:r>
          </w:p>
        </w:tc>
        <w:tc>
          <w:tcPr>
            <w:tcW w:type="dxa" w:w="3180"/>
            <w:tcBorders>
              <w:top w:val="single" w:color="BFBFBF" w:sz="1"/>
              <w:left w:val="single" w:color="BFBFBF" w:sz="1"/>
              <w:bottom w:val="single" w:color="BFBFBF" w:sz="1"/>
              <w:right w:val="single" w:color="BFBFBF" w:sz="1"/>
            </w:tcBorders>
            <w:shd w:fill="EAF2F8" w:val="clear"/>
            <w:tcMar>
              <w:top w:type="dxa" w:w="90"/>
              <w:left w:type="dxa" w:w="120"/>
              <w:bottom w:type="dxa" w:w="90"/>
              <w:right w:type="dxa" w:w="120"/>
            </w:tcMar>
            <w:vAlign w:val="center"/>
          </w:tcPr>
          <w:p>
            <w:pPr>
              <w:spacing w:after="0" w:line="300"/>
            </w:pPr>
            <w:r>
              <w:rPr>
                <w:rFonts w:ascii="Malgun Gothic" w:cs="Malgun Gothic" w:eastAsia="Malgun Gothic" w:hAnsi="Malgun Gothic"/>
                <w:b/>
                <w:bCs/>
                <w:sz w:val="19"/>
                <w:szCs w:val="19"/>
              </w:rPr>
              <w:t xml:space="preserve">Model 1</w:t>
            </w:r>
          </w:p>
        </w:tc>
        <w:tc>
          <w:tcPr>
            <w:tcW w:type="dxa" w:w="3180"/>
            <w:tcBorders>
              <w:top w:val="single" w:color="BFBFBF" w:sz="1"/>
              <w:left w:val="single" w:color="BFBFBF" w:sz="1"/>
              <w:bottom w:val="single" w:color="BFBFBF" w:sz="1"/>
              <w:right w:val="single" w:color="BFBFBF" w:sz="1"/>
            </w:tcBorders>
            <w:shd w:fill="EAF2F8" w:val="clear"/>
            <w:tcMar>
              <w:top w:type="dxa" w:w="90"/>
              <w:left w:type="dxa" w:w="120"/>
              <w:bottom w:type="dxa" w:w="90"/>
              <w:right w:type="dxa" w:w="120"/>
            </w:tcMar>
            <w:vAlign w:val="center"/>
          </w:tcPr>
          <w:p>
            <w:pPr>
              <w:spacing w:after="0" w:line="300"/>
            </w:pPr>
            <w:r>
              <w:rPr>
                <w:rFonts w:ascii="Malgun Gothic" w:cs="Malgun Gothic" w:eastAsia="Malgun Gothic" w:hAnsi="Malgun Gothic"/>
                <w:b/>
                <w:bCs/>
                <w:sz w:val="19"/>
                <w:szCs w:val="19"/>
              </w:rPr>
              <w:t xml:space="preserve">Model 2</w:t>
            </w:r>
          </w:p>
        </w:tc>
      </w:tr>
      <w:tr>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seed_tfidf_E</w:t>
            </w:r>
          </w:p>
        </w:tc>
        <w:tc>
          <w:tcPr>
            <w:tcW w:type="dxa" w:w="318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0.04 (0.08)</w:t>
            </w:r>
          </w:p>
        </w:tc>
        <w:tc>
          <w:tcPr>
            <w:tcW w:type="dxa" w:w="318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
            </w:r>
          </w:p>
        </w:tc>
      </w:tr>
      <w:tr>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expanded_tfidf_E</w:t>
            </w:r>
          </w:p>
        </w:tc>
        <w:tc>
          <w:tcPr>
            <w:tcW w:type="dxa" w:w="318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
            </w:r>
          </w:p>
        </w:tc>
        <w:tc>
          <w:tcPr>
            <w:tcW w:type="dxa" w:w="318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0.16** (0.07)</w:t>
            </w:r>
          </w:p>
        </w:tc>
      </w:tr>
      <w:tr>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total_word_count</w:t>
            </w:r>
          </w:p>
        </w:tc>
        <w:tc>
          <w:tcPr>
            <w:tcW w:type="dxa" w:w="318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0.09* (0.05)</w:t>
            </w:r>
          </w:p>
        </w:tc>
        <w:tc>
          <w:tcPr>
            <w:tcW w:type="dxa" w:w="318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0.07 (0.05)</w:t>
            </w:r>
          </w:p>
        </w:tc>
      </w:tr>
      <w:tr>
        <w:tc>
          <w:tcPr>
            <w:tcW w:type="dxa" w:w="300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N</w:t>
            </w:r>
          </w:p>
        </w:tc>
        <w:tc>
          <w:tcPr>
            <w:tcW w:type="dxa" w:w="318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348</w:t>
            </w:r>
          </w:p>
        </w:tc>
        <w:tc>
          <w:tcPr>
            <w:tcW w:type="dxa" w:w="3180"/>
            <w:tcBorders>
              <w:top w:val="single" w:color="BFBFBF" w:sz="1"/>
              <w:left w:val="single" w:color="BFBFBF" w:sz="1"/>
              <w:bottom w:val="single" w:color="BFBFBF" w:sz="1"/>
              <w:right w:val="single" w:color="BFBFBF" w:sz="1"/>
            </w:tcBorders>
            <w:tcMar>
              <w:top w:type="dxa" w:w="90"/>
              <w:left w:type="dxa" w:w="120"/>
              <w:bottom w:type="dxa" w:w="90"/>
              <w:right w:type="dxa" w:w="120"/>
            </w:tcMar>
            <w:vAlign w:val="center"/>
          </w:tcPr>
          <w:p>
            <w:pPr>
              <w:spacing w:after="0" w:line="300"/>
            </w:pPr>
            <w:r>
              <w:rPr>
                <w:rFonts w:ascii="Malgun Gothic" w:cs="Malgun Gothic" w:eastAsia="Malgun Gothic" w:hAnsi="Malgun Gothic"/>
                <w:b w:val="false"/>
                <w:bCs w:val="false"/>
                <w:sz w:val="19"/>
                <w:szCs w:val="19"/>
              </w:rPr>
              <w:t xml:space="preserve">348</w:t>
            </w:r>
          </w:p>
        </w:tc>
      </w:tr>
    </w:tbl>
    <w:p>
      <w:pPr>
        <w:spacing w:after="120" w:before="80" w:line="300"/>
        <w:jc w:val="both"/>
      </w:pPr>
      <w:r>
        <w:rPr>
          <w:rFonts w:ascii="Malgun Gothic" w:cs="Malgun Gothic" w:eastAsia="Malgun Gothic" w:hAnsi="Malgun Gothic"/>
          <w:i/>
          <w:iCs/>
          <w:color w:val="555555"/>
          <w:sz w:val="20"/>
          <w:szCs w:val="20"/>
        </w:rPr>
        <w:t xml:space="preserve">괄호 안은 표준오차입니다. * p&lt;0.10, ** p&lt;0.05. 수치는 illustrative values입니다.</w:t>
      </w:r>
    </w:p>
    <w:p>
      <w:pPr>
        <w:spacing w:after="120" w:before="0" w:line="384"/>
        <w:jc w:val="both"/>
      </w:pPr>
      <w:r>
        <w:rPr>
          <w:rFonts w:ascii="Malgun Gothic" w:cs="Malgun Gothic" w:eastAsia="Malgun Gothic" w:hAnsi="Malgun Gothic"/>
          <w:sz w:val="21"/>
          <w:szCs w:val="21"/>
        </w:rPr>
        <w:t xml:space="preserve">Model 2에서 expanded_tfidf_E의 계수는 양수이며 통계적으로 유의하다. 그러나 total_word_count를 함께 넣었을 때 계수 크기가 작고, 표본이 수업용 pilot panel이라는 점을 고려하면 이 결과는 강한 예측이라기보다 환경 관련 구체 표현과 등급 사이의 약한 연관성으로 읽는 것이 적절하다.</w:t>
      </w:r>
    </w:p>
    <w:p>
      <w:pPr>
        <w:pStyle w:val="Heading1"/>
        <w:spacing w:after="120" w:before="260" w:line="384"/>
      </w:pPr>
      <w:r>
        <w:rPr>
          <w:rFonts w:ascii="Malgun Gothic" w:cs="Malgun Gothic" w:eastAsia="Malgun Gothic" w:hAnsi="Malgun Gothic"/>
          <w:b/>
          <w:bCs/>
          <w:sz w:val="26"/>
          <w:szCs w:val="26"/>
        </w:rPr>
        <w:t xml:space="preserve">5. Discussion</w:t>
      </w:r>
    </w:p>
    <w:p>
      <w:pPr>
        <w:spacing w:after="120" w:before="0" w:line="384"/>
        <w:jc w:val="both"/>
      </w:pPr>
      <w:r>
        <w:rPr>
          <w:rFonts w:ascii="Malgun Gothic" w:cs="Malgun Gothic" w:eastAsia="Malgun Gothic" w:hAnsi="Malgun Gothic"/>
          <w:sz w:val="21"/>
          <w:szCs w:val="21"/>
        </w:rPr>
        <w:t xml:space="preserve">이 결과는 DART 사업보고서에서 환경 단어가 단순히 많이 등장하는 것보다, 구체적 실행 항목을 담은 표현이 외부 환경 등급과 더 연결될 수 있음을 시사한다. 예를 들어 온실가스, 재생에너지, 폐기물 같은 단어가 단순 ESG 선언문보다 더 해석 가능한 feature를 만들 수 있다.</w:t>
      </w:r>
    </w:p>
    <w:p>
      <w:pPr>
        <w:spacing w:after="120" w:before="0" w:line="384"/>
        <w:jc w:val="both"/>
      </w:pPr>
      <w:r>
        <w:rPr>
          <w:rFonts w:ascii="Malgun Gothic" w:cs="Malgun Gothic" w:eastAsia="Malgun Gothic" w:hAnsi="Malgun Gothic"/>
          <w:sz w:val="21"/>
          <w:szCs w:val="21"/>
        </w:rPr>
        <w:t xml:space="preserve">동시에 cheap-talk 가능성은 남아 있다. 공시 문장이 길고 ESG 관련 표현이 많은 기업이 높은 등급을 받는 경향이 있다면, 그것이 실제 성과 때문인지 공시 작성 방식 때문인지 구분해야 한다. 따라서 본 보고서의 contribution은 "공시 언어가 성과를 증명한다"가 아니라, "환경 공시 표현의 구체성이 외부 등급과 일부 정렬될 수 있다"는 조심스러운 주장이다.</w:t>
      </w:r>
    </w:p>
    <w:p>
      <w:pPr>
        <w:pStyle w:val="Heading1"/>
        <w:spacing w:after="120" w:before="260" w:line="384"/>
      </w:pPr>
      <w:r>
        <w:rPr>
          <w:rFonts w:ascii="Malgun Gothic" w:cs="Malgun Gothic" w:eastAsia="Malgun Gothic" w:hAnsi="Malgun Gothic"/>
          <w:b/>
          <w:bCs/>
          <w:sz w:val="26"/>
          <w:szCs w:val="26"/>
        </w:rPr>
        <w:t xml:space="preserve">6. Conclusion</w:t>
      </w:r>
    </w:p>
    <w:p>
      <w:pPr>
        <w:spacing w:after="120" w:before="0" w:line="384"/>
        <w:jc w:val="both"/>
      </w:pPr>
      <w:r>
        <w:rPr>
          <w:rFonts w:ascii="Malgun Gothic" w:cs="Malgun Gothic" w:eastAsia="Malgun Gothic" w:hAnsi="Malgun Gothic"/>
          <w:sz w:val="21"/>
          <w:szCs w:val="21"/>
        </w:rPr>
        <w:t xml:space="preserve">본 예시는 DART 환경 공시 표현의 구체성이 KCGS 환경 등급과 약하게 정렬될 수 있음을 보여준다. 특히 단순한 ESG 단어 빈도보다 구체적 실행 항목을 담은 expanded dictionary feature가 더 해석 가능한 신호를 줄 가능성이 있다.</w:t>
      </w:r>
    </w:p>
    <w:p>
      <w:pPr>
        <w:spacing w:after="120" w:before="0" w:line="384"/>
        <w:jc w:val="both"/>
      </w:pPr>
      <w:r>
        <w:rPr>
          <w:rFonts w:ascii="Malgun Gothic" w:cs="Malgun Gothic" w:eastAsia="Malgun Gothic" w:hAnsi="Malgun Gothic"/>
          <w:sz w:val="21"/>
          <w:szCs w:val="21"/>
        </w:rPr>
        <w:t xml:space="preserve">따라서 이 Short Research Paper의 핵심 contribution은 환경 공시 텍스트를 단어 수의 문제가 아니라 표현의 구체성 문제로 읽어야 한다는 점을 보여주는 데 있다.</w:t>
      </w:r>
    </w:p>
    <w:p>
      <w:pPr>
        <w:pStyle w:val="Heading1"/>
        <w:spacing w:after="120" w:before="260" w:line="384"/>
      </w:pPr>
      <w:r>
        <w:rPr>
          <w:rFonts w:ascii="Malgun Gothic" w:cs="Malgun Gothic" w:eastAsia="Malgun Gothic" w:hAnsi="Malgun Gothic"/>
          <w:b/>
          <w:bCs/>
          <w:sz w:val="26"/>
          <w:szCs w:val="26"/>
        </w:rPr>
        <w:t xml:space="preserve">References</w:t>
      </w:r>
    </w:p>
    <w:p>
      <w:pPr>
        <w:spacing w:after="120" w:before="0" w:line="384"/>
        <w:jc w:val="both"/>
      </w:pPr>
      <w:r>
        <w:rPr>
          <w:rFonts w:ascii="Malgun Gothic" w:cs="Malgun Gothic" w:eastAsia="Malgun Gothic" w:hAnsi="Malgun Gothic"/>
          <w:sz w:val="21"/>
          <w:szCs w:val="21"/>
        </w:rPr>
        <w:t xml:space="preserve">한국ESG기준원. (n.d.). ESG 평가 등급 자료. https://www.cgs.or.kr</w:t>
      </w:r>
    </w:p>
    <w:p>
      <w:pPr>
        <w:spacing w:after="120" w:before="0" w:line="384"/>
        <w:jc w:val="both"/>
      </w:pPr>
      <w:r>
        <w:rPr>
          <w:rFonts w:ascii="Malgun Gothic" w:cs="Malgun Gothic" w:eastAsia="Malgun Gothic" w:hAnsi="Malgun Gothic"/>
          <w:sz w:val="21"/>
          <w:szCs w:val="21"/>
        </w:rPr>
        <w:t xml:space="preserve">금융감독원. (n.d.). OpenDART API 개발가이드. OpenDART. https://opendart.fss.or.kr</w:t>
      </w:r>
    </w:p>
    <w:p>
      <w:pPr>
        <w:spacing w:after="120" w:before="0" w:line="384"/>
        <w:jc w:val="both"/>
      </w:pPr>
      <w:r>
        <w:rPr>
          <w:rFonts w:ascii="Malgun Gothic" w:cs="Malgun Gothic" w:eastAsia="Malgun Gothic" w:hAnsi="Malgun Gothic"/>
          <w:sz w:val="21"/>
          <w:szCs w:val="21"/>
        </w:rPr>
        <w:t xml:space="preserve">이재윤. (2026). 비정형데이터분석 ESG DART 기말 프로젝트 안내 [수업 자료]. 비정형데이터분석.</w:t>
      </w:r>
    </w:p>
    <w:p>
      <w:pPr>
        <w:spacing w:after="120" w:before="0" w:line="384"/>
        <w:jc w:val="both"/>
      </w:pPr>
      <w:r>
        <w:rPr>
          <w:rFonts w:ascii="Malgun Gothic" w:cs="Malgun Gothic" w:eastAsia="Malgun Gothic" w:hAnsi="Malgun Gothic"/>
          <w:sz w:val="21"/>
          <w:szCs w:val="21"/>
        </w:rPr>
        <w:t xml:space="preserve">Loughran, T., &amp; McDonald, B. (2011). When is a liability not a liability? Textual analysis, dictionaries, and 10-Ks. The Journal of Finance, 66(1), 35-65.</w:t>
      </w:r>
    </w:p>
    <w:p>
      <w:pPr>
        <w:spacing w:after="120" w:before="0" w:line="384"/>
        <w:jc w:val="both"/>
      </w:pPr>
      <w:r>
        <w:rPr>
          <w:rFonts w:ascii="Malgun Gothic" w:cs="Malgun Gothic" w:eastAsia="Malgun Gothic" w:hAnsi="Malgun Gothic"/>
          <w:sz w:val="21"/>
          <w:szCs w:val="21"/>
        </w:rPr>
        <w:t xml:space="preserve">Bird, S., Klein, E., &amp; Loper, E. (2009). Natural language processing with Python. O'Reilly Media.</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pPr>
        <w:spacing w:after="120" w:line="38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Malgun Gothic" w:cs="Malgun Gothic" w:eastAsia="Malgun Gothic" w:hAnsi="Malgun Gothic"/>
      <w:b/>
      <w:bCs/>
      <w:sz w:val="26"/>
      <w:szCs w:val="26"/>
    </w:rPr>
  </w:style>
  <w:style w:type="paragraph" w:styleId="Heading2">
    <w:name w:val="Heading 2"/>
    <w:basedOn w:val="Normal"/>
    <w:next w:val="Normal"/>
    <w:qFormat/>
    <w:pPr>
      <w:spacing w:after="80" w:before="160"/>
      <w:outlineLvl w:val="1"/>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2026-05-31T06:13:14.115Z</dcterms:created>
  <dcterms:modified xsi:type="dcterms:W3CDTF">2026-05-31T06:13:14.131Z</dcterms:modified>
</cp:coreProperties>
</file>

<file path=docProps/custom.xml><?xml version="1.0" encoding="utf-8"?>
<Properties xmlns="http://schemas.openxmlformats.org/officeDocument/2006/custom-properties" xmlns:vt="http://schemas.openxmlformats.org/officeDocument/2006/docPropsVTypes"/>
</file>