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line="360" w:lineRule="auto"/>
        <w:jc w:val="center"/>
      </w:pPr>
      <w:r>
        <w:rPr>
          <w:rFonts w:ascii="맑은 고딕" w:cs="맑은 고딕" w:eastAsia="맑은 고딕" w:hAnsi="맑은 고딕"/>
          <w:b/>
          <w:bCs/>
          <w:sz w:val="28"/>
          <w:szCs w:val="28"/>
        </w:rPr>
        <w:t xml:space="preserve">한국 상장기업 사업보고서의 ESG 어휘 강도는</w:t>
      </w:r>
    </w:p>
    <w:p>
      <w:pPr>
        <w:spacing w:after="60" w:before="0" w:line="360" w:lineRule="auto"/>
        <w:jc w:val="center"/>
      </w:pPr>
      <w:r>
        <w:rPr>
          <w:rFonts w:ascii="맑은 고딕" w:cs="맑은 고딕" w:eastAsia="맑은 고딕" w:hAnsi="맑은 고딕"/>
          <w:b/>
          <w:bCs/>
          <w:sz w:val="28"/>
          <w:szCs w:val="28"/>
        </w:rPr>
        <w:t xml:space="preserve">KCGS 등급을 설명하는가:</w:t>
      </w:r>
    </w:p>
    <w:p>
      <w:pPr>
        <w:spacing w:after="280" w:before="0" w:line="360" w:lineRule="auto"/>
        <w:jc w:val="center"/>
      </w:pPr>
      <w:r>
        <w:rPr>
          <w:rFonts w:ascii="맑은 고딕" w:cs="맑은 고딕" w:eastAsia="맑은 고딕" w:hAnsi="맑은 고딕"/>
          <w:b/>
          <w:bCs/>
          <w:sz w:val="28"/>
          <w:szCs w:val="28"/>
        </w:rPr>
        <w:t xml:space="preserve">공시 장황성 통제와 지배구조 신호의 섹션 국소화</w:t>
      </w:r>
    </w:p>
    <w:p>
      <w:pPr>
        <w:spacing w:after="60" w:before="0" w:line="320" w:lineRule="auto"/>
        <w:jc w:val="center"/>
      </w:pPr>
      <w:r>
        <w:rPr>
          <w:rFonts w:ascii="맑은 고딕" w:cs="맑은 고딕" w:eastAsia="맑은 고딕" w:hAnsi="맑은 고딕"/>
          <w:b w:val="false"/>
          <w:bCs w:val="false"/>
          <w:sz w:val="21"/>
          <w:szCs w:val="21"/>
        </w:rPr>
        <w:t xml:space="preserve">김혜성, 이동원, 김지우, 신지영</w:t>
      </w:r>
    </w:p>
    <w:p>
      <w:pPr>
        <w:spacing w:after="300" w:before="0" w:line="320" w:lineRule="auto"/>
        <w:jc w:val="center"/>
      </w:pPr>
      <w:r>
        <w:rPr>
          <w:rFonts w:ascii="맑은 고딕" w:cs="맑은 고딕" w:eastAsia="맑은 고딕" w:hAnsi="맑은 고딕"/>
          <w:b w:val="false"/>
          <w:bCs w:val="false"/>
          <w:sz w:val="19"/>
          <w:szCs w:val="19"/>
        </w:rPr>
        <w:t xml:space="preserve">비정형 데이터 처리 Final Term Project | 3조</w:t>
      </w:r>
    </w:p>
    <w:p>
      <w:pPr>
        <w:spacing w:after="100" w:before="0" w:line="320" w:lineRule="auto"/>
        <w:jc w:val="center"/>
      </w:pPr>
      <w:r>
        <w:rPr>
          <w:rFonts w:ascii="맑은 고딕" w:cs="맑은 고딕" w:eastAsia="맑은 고딕" w:hAnsi="맑은 고딕"/>
          <w:b/>
          <w:bCs/>
          <w:sz w:val="22"/>
          <w:szCs w:val="22"/>
        </w:rPr>
        <w:t xml:space="preserve">초록</w:t>
      </w:r>
    </w:p>
    <w:p>
      <w:pPr>
        <w:spacing w:after="80" w:before="0" w:line="360" w:lineRule="auto"/>
        <w:ind w:left="280" w:right="280"/>
        <w:jc w:val="both"/>
      </w:pPr>
      <w:r>
        <w:rPr>
          <w:rFonts w:ascii="맑은 고딕" w:cs="맑은 고딕" w:eastAsia="맑은 고딕" w:hAnsi="맑은 고딕"/>
          <w:sz w:val="20"/>
          <w:szCs w:val="20"/>
        </w:rPr>
        <w:t xml:space="preserve">상장기업이 사업보고서에 적는 ESG 관련 표현과 한국ESG기준원(KCGS) 외부 ESG 등급의 통계적 연관을 분석하였다. 127개 상장기업의 2022–2024 회계연도 사업보고서 381 firm-year에서 환경(E)·사회(S)·지배구조(G) 어휘 강도를 TF-IDF seed 사전·FastText 확장 사전·기준 문장 cosine으로 측정하고, OLS·Ordered Logit·Binary Logit으로 공시 분량을 통제한 뒤 등급과의 관계를 확인하였다. 가장 강한 연관은 ESG 어휘가 아니라 단순 토큰 수에서 나타났으며(Spearman ρ=0.663), A 이상 등급 기업의 사업보고서는 B+ 이하보다 평균 2.1배 길었다. 이는 공시 분량이 외부 평가와 함께 움직이는 cheap-talk 가능성을 보여준다. 다만 분량과 기업 규모를 함께 통제한 뒤에도 G 확장 어휘는 독립 신호를 유지하였고(β=1.955, p&lt;0.001), E는 규모 통제 시 사라졌으며 S는 모든 모형에서 비유의였다. 분량을 통제하고 남은 G 신호는 이사회 등 기관을 다루는 VI 섹션에 집중되어, 그 섹션에서 측정할 때 등급과의 상관이 전체 문서 기준 0.426에서 0.526으로 더 선명해졌다. 이 패턴은 사전에 의존하지 않는 의미 임베딩 분류에서도 재현되었다(VI 문장의 97.9%가 G로 분류). 모든 결과는 연관 관찰이며 인과로 해석하지 않는다.</w:t>
      </w:r>
    </w:p>
    <w:p>
      <w:r>
        <w:br w:type="page"/>
      </w:r>
    </w:p>
    <w:p>
      <w:pPr>
        <w:spacing w:after="100" w:before="220" w:line="384" w:lineRule="auto"/>
        <w:jc w:val="left"/>
      </w:pPr>
      <w:r>
        <w:rPr>
          <w:rFonts w:ascii="맑은 고딕" w:cs="맑은 고딕" w:eastAsia="맑은 고딕" w:hAnsi="맑은 고딕"/>
          <w:b/>
          <w:bCs/>
          <w:sz w:val="25"/>
          <w:szCs w:val="25"/>
        </w:rPr>
        <w:t xml:space="preserve">1. Introduction</w:t>
      </w:r>
    </w:p>
    <w:p>
      <w:pPr>
        <w:spacing w:after="120" w:before="0" w:line="384" w:lineRule="auto"/>
        <w:jc w:val="both"/>
      </w:pPr>
      <w:r>
        <w:rPr>
          <w:rFonts w:ascii="맑은 고딕" w:cs="맑은 고딕" w:eastAsia="맑은 고딕" w:hAnsi="맑은 고딕"/>
          <w:sz w:val="21"/>
          <w:szCs w:val="21"/>
        </w:rPr>
        <w:t xml:space="preserve">ESG 공시는 외부 평가기관이 등급을 매기는 주요 근거다. 그렇다면 사업보고서에 ESG 표현을 더 많이, 더 구체적으로 적는 기업일수록 등급도 높을 것이라 기대할 수 있는데, 이 기대에는 두 해석이 얽혀 있다. 하나는 실제 ESG 활동이 활발한 기업이 보고서에도 관련 내용을 충실히 담는다는 해석이고, 다른 하나는 규모가 크고 공시 역량이 높은 기업이 어떤 주제든 길고 정교하게 써서 어휘량과 등급이 함께 높아진다는 해석이다. 본 연구는 후자를 cheap-talk이라 부른다. 이는 허위 공시라는 단정이 아니라, 공시 언어의 양과 외부 평가가 강하게 연동되어 실제 성과와 표현 사이에 괴리가 생길 수 있다는 측정상의 경계 개념이다. 사업보고서 텍스트로 ESG를 측정하려는 시도가 이 cheap-talk과 실질 신호를 구분하지 못하면 "보고서가 긴 기업이 등급도 높다"는 동어반복에 빠진다. 따라서 본 연구의 문제의식은 분량 효과를 걷어낸 뒤에도 남는 ESG 신호가 있는가, 있다면 어떤 차원의 어느 부분 신호인가에 있다.</w:t>
      </w:r>
    </w:p>
    <w:p>
      <w:pPr>
        <w:spacing w:after="120" w:before="0" w:line="384" w:lineRule="auto"/>
        <w:jc w:val="both"/>
      </w:pPr>
      <w:r>
        <w:rPr>
          <w:rFonts w:ascii="맑은 고딕" w:cs="맑은 고딕" w:eastAsia="맑은 고딕" w:hAnsi="맑은 고딕"/>
          <w:sz w:val="21"/>
          <w:szCs w:val="21"/>
        </w:rPr>
        <w:t xml:space="preserve">ESG 등급 자체의 신뢰성은 이미 폭넓게 지적되어 왔다. Berg, Koelbel, and Rigobon(2022)은 주요 6개 평가기관의 ESG 등급 상관이 0.38–0.71에 그쳐 신용등급의 0.99와 대비되며 불일치의 절반 이상이 측정 방법 차이에서 비롯된다고 분석하였다. 단일 등급을 정답처럼 다루기 어렵다는 이 결과는 본 연구가 KCGS 등급과의 관계를 인과가 아닌 연관으로만 해석하는 근거가 된다. 한편 Loughran and McDonald(2011)는 범용 감성 사전을 금융 공시에 적용하면 다수 단어가 도메인 맥락과 어긋난다는 점을 보이고 공시 특화 사전의 필요성을 주장하였는데, 이는 외부 사전 대신 분석 corpus 자체에서 학습한 임베딩으로 확장 사전을 구축한 본 연구의 선택과 맞닿는다.</w:t>
      </w:r>
    </w:p>
    <w:p>
      <w:pPr>
        <w:spacing w:after="120" w:before="0" w:line="384" w:lineRule="auto"/>
        <w:jc w:val="both"/>
      </w:pPr>
      <w:r>
        <w:rPr>
          <w:rFonts w:ascii="맑은 고딕" w:cs="맑은 고딕" w:eastAsia="맑은 고딕" w:hAnsi="맑은 고딕"/>
          <w:sz w:val="21"/>
          <w:szCs w:val="21"/>
        </w:rPr>
        <w:t xml:space="preserve">분석 단위는 회사명이 아니라 stock_code × fiscal_year firm-year이며 두 질문에 답한다. 첫째, ESG 어휘 강도는 등급과 연관되며 그 연관은 분량 통제 후에도 유지되는가. 둘째, 남은 신호는 보고서 어느 섹션에 집중되는가. 기여는 두 가지다. 공시 분량 효과를 분리하여 세 차원이 분량·규모 통제에 서로 다르게 반응함을 보였고(G 견고, E 규모 교란, S 비유의), 섹션 분석으로 지배구조 신호가 이사회 공시 섹션에 국소화되어 그곳에서 더 선명해짐을 사전 기반과 의미 임베딩 양쪽에서 정량화하였다.</w:t>
      </w:r>
    </w:p>
    <w:p>
      <w:pPr>
        <w:spacing w:after="100" w:before="220" w:line="384" w:lineRule="auto"/>
        <w:jc w:val="left"/>
      </w:pPr>
      <w:r>
        <w:rPr>
          <w:rFonts w:ascii="맑은 고딕" w:cs="맑은 고딕" w:eastAsia="맑은 고딕" w:hAnsi="맑은 고딕"/>
          <w:b/>
          <w:bCs/>
          <w:sz w:val="25"/>
          <w:szCs w:val="25"/>
        </w:rPr>
        <w:t xml:space="preserve">2. Data</w:t>
      </w:r>
    </w:p>
    <w:p>
      <w:pPr>
        <w:spacing w:after="120" w:before="0" w:line="384" w:lineRule="auto"/>
        <w:jc w:val="both"/>
      </w:pPr>
      <w:r>
        <w:rPr>
          <w:rFonts w:ascii="맑은 고딕" w:cs="맑은 고딕" w:eastAsia="맑은 고딕" w:hAnsi="맑은 고딕"/>
          <w:sz w:val="21"/>
          <w:szCs w:val="21"/>
        </w:rPr>
        <w:t xml:space="preserve">표본은 KCGS ESG 등급을 보유한 상장기업 127개를 2022·2023·2024 세 회계연도로 확장한 381 firm-year다. 한 기업을 한 관측치로 두면 연도별 공시 변화가 사라지므로 firm-year를 단위로 삼되, 한 기업이 세 해 반복 관측되어 완전 독립은 아니라는 점은 한계로 남는다. 결합 키로 회사명을 쓰지 않은 이유는 사명 변경·표기 차이로 인한 오매칭 때문이다. 실제 고유 회사명은 133개였으나 고유 종목코드는 127개였다. 종목코드는 항상 6자리 문자열로 처리해 005930이 5930으로 읽혀 매핑이 실패하는 일을 막았다. 등급은 D=0부터 A+=5까지 순서형으로 부호화하였고, 간격이 같다는 가정이 아니므로 순위 기반 통계를 먼저 보고 회귀도 한 모형에만 의존하지 않았다. 공시와 평가 시점은 esg_year = fiscal_year + 1로 정렬해, 평가연도 t의 등급을 직전 회계연도 사업보고서와 맞추었다.</w:t>
      </w:r>
    </w:p>
    <w:p>
      <w:pPr>
        <w:spacing w:after="120" w:before="0" w:line="384" w:lineRule="auto"/>
        <w:jc w:val="both"/>
      </w:pPr>
      <w:r>
        <w:rPr>
          <w:rFonts w:ascii="맑은 고딕" w:cs="맑은 고딕" w:eastAsia="맑은 고딕" w:hAnsi="맑은 고딕"/>
          <w:sz w:val="21"/>
          <w:szCs w:val="21"/>
        </w:rPr>
        <w:t xml:space="preserve">수집은 재현성을 위해 회사명 검색 대신 stock_code → corp_code → rcept_no → document.xml 경로를 남겼다. 사업보고서만 남기고 반기·분기 등을 걸러내되, 같은 회계연도에 정정공시가 여럿이면 최신 확정본을 택하고 결산월에 의존하지 않는 방식으로 검색해 비12월 결산 기업의 누락을 막았다. 수집 실패 행은 0점으로 채우지 않았는데, 텍스트 부재와 수집 실패는 의미가 다르기 때문이다. 다만 최종적으로 381건 전부 수집에 성공하였다.</w:t>
      </w:r>
    </w:p>
    <w:p>
      <w:pPr>
        <w:spacing w:after="120" w:before="0" w:line="384" w:lineRule="auto"/>
        <w:jc w:val="both"/>
      </w:pPr>
      <w:r>
        <w:rPr>
          <w:rFonts w:ascii="맑은 고딕" w:cs="맑은 고딕" w:eastAsia="맑은 고딕" w:hAnsi="맑은 고딕"/>
          <w:sz w:val="21"/>
          <w:szCs w:val="21"/>
        </w:rPr>
        <w:t xml:space="preserve">분석에는 보고서 전체가 아니라 II(사업의 내용)·IV(이사의 경영진단)·VI(이사회 등 기관) 세 섹션만 추출하였다. 재무제표 주석·표·안내문이 ESG 어휘 측정을 흐릴 수 있어, ESG 서술이 실제 문장으로 나타나는 구간만 남기려는 선택이다. 세 섹션의 역할은 다르다. II는 환경·사회 표현이 가장 많은 본문, IV는 경영진의 자발적 서술, VI는 지배구조 공시의 핵심이다. 기업별 세부 항목명은 달라도 대분류 구조는 안정적이므로 로마숫자 대분류 제목만 경계로 삼았고, 형태소·TF-IDF를 왜곡하는 표 블록을 제거했으며, 파싱 실패 조각을 본문으로 오인하지 않도록 너무 짧은 텍스트를 제외하였다. 그 결과 세 섹션 모두 0자인 firm-year는 없었다.</w:t>
      </w:r>
    </w:p>
    <w:p>
      <w:pPr>
        <w:spacing w:after="120" w:before="0" w:line="384" w:lineRule="auto"/>
        <w:jc w:val="both"/>
      </w:pPr>
      <w:r>
        <w:rPr>
          <w:rFonts w:ascii="맑은 고딕" w:cs="맑은 고딕" w:eastAsia="맑은 고딕" w:hAnsi="맑은 고딕"/>
          <w:sz w:val="21"/>
          <w:szCs w:val="21"/>
        </w:rPr>
        <w:t xml:space="preserve">추출 텍스트의 글자 수는 평균 34,773자였으나 최소 4,513자에서 최대 189,606자까지 약 42배의 편차를 보였다. 보고서가 길면 어떤 단어든 더 많이 등장하므로, ESG 어휘가 많다는 사실만으로 성과가 좋다고 해석하면 분량 효과를 신호로 착각한다. 따라서 이후 모든 회귀에 분량을 로그 변환한 log_n_tokens를 통제변수로 넣었다. 이 변수는 단순 보조 통제가 아니라 cheap-talk 가능성을 정면으로 점검하는 핵심 변수다.</w:t>
      </w:r>
    </w:p>
    <w:p>
      <w:pPr>
        <w:spacing w:after="70" w:before="50" w:line="280" w:lineRule="auto"/>
        <w:jc w:val="left"/>
      </w:pPr>
      <w:r>
        <w:rPr>
          <w:rFonts w:ascii="맑은 고딕" w:cs="맑은 고딕" w:eastAsia="맑은 고딕" w:hAnsi="맑은 고딕"/>
          <w:i/>
          <w:iCs/>
          <w:sz w:val="18"/>
          <w:szCs w:val="18"/>
        </w:rPr>
        <w:t xml:space="preserve">표 1. 사업보고서 추출 텍스트 글자 수 분포 (381 firm-year)</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512"/>
        <w:gridCol w:w="1512"/>
        <w:gridCol w:w="1512"/>
        <w:gridCol w:w="1512"/>
        <w:gridCol w:w="1512"/>
        <w:gridCol w:w="1512"/>
      </w:tblGrid>
      <w:tr>
        <w:trPr>
          <w:tblHeader/>
        </w:trPr>
        <w:tc>
          <w:tcPr>
            <w:tcW w:type="dxa" w:w="1512"/>
            <w:tcBorders>
              <w:top w:val="single" w:color="AAAAAA" w:sz="4"/>
              <w:left w:val="single" w:color="AAAAAA" w:sz="4"/>
              <w:bottom w:val="single" w:color="AAAAAA" w:sz="4"/>
              <w:right w:val="single" w:color="AAAAAA" w:sz="4"/>
            </w:tcBorders>
            <w:shd w:fill="D5E3F5" w:val="clear"/>
            <w:tcMar>
              <w:top w:type="dxa" w:w="60"/>
              <w:left w:type="dxa" w:w="100"/>
              <w:bottom w:type="dxa" w:w="60"/>
              <w:right w:type="dxa" w:w="100"/>
            </w:tcMar>
          </w:tcPr>
          <w:p>
            <w:pPr>
              <w:jc w:val="left"/>
            </w:pPr>
            <w:r>
              <w:rPr>
                <w:rFonts w:ascii="맑은 고딕" w:cs="맑은 고딕" w:eastAsia="맑은 고딕" w:hAnsi="맑은 고딕"/>
                <w:b/>
                <w:bCs/>
                <w:sz w:val="18"/>
                <w:szCs w:val="18"/>
              </w:rPr>
              <w:t xml:space="preserve">항목</w:t>
            </w:r>
          </w:p>
        </w:tc>
        <w:tc>
          <w:tcPr>
            <w:tcW w:type="dxa" w:w="1512"/>
            <w:tcBorders>
              <w:top w:val="single" w:color="AAAAAA" w:sz="4"/>
              <w:left w:val="single" w:color="AAAAAA" w:sz="4"/>
              <w:bottom w:val="single" w:color="AAAAAA" w:sz="4"/>
              <w:right w:val="single" w:color="AAAAAA" w:sz="4"/>
            </w:tcBorders>
            <w:shd w:fill="D5E3F5" w:val="clear"/>
            <w:tcMar>
              <w:top w:type="dxa" w:w="60"/>
              <w:left w:type="dxa" w:w="100"/>
              <w:bottom w:type="dxa" w:w="60"/>
              <w:right w:type="dxa" w:w="100"/>
            </w:tcMar>
          </w:tcPr>
          <w:p>
            <w:pPr>
              <w:jc w:val="left"/>
            </w:pPr>
            <w:r>
              <w:rPr>
                <w:rFonts w:ascii="맑은 고딕" w:cs="맑은 고딕" w:eastAsia="맑은 고딕" w:hAnsi="맑은 고딕"/>
                <w:b/>
                <w:bCs/>
                <w:sz w:val="18"/>
                <w:szCs w:val="18"/>
              </w:rPr>
              <w:t xml:space="preserve">평균</w:t>
            </w:r>
          </w:p>
        </w:tc>
        <w:tc>
          <w:tcPr>
            <w:tcW w:type="dxa" w:w="1512"/>
            <w:tcBorders>
              <w:top w:val="single" w:color="AAAAAA" w:sz="4"/>
              <w:left w:val="single" w:color="AAAAAA" w:sz="4"/>
              <w:bottom w:val="single" w:color="AAAAAA" w:sz="4"/>
              <w:right w:val="single" w:color="AAAAAA" w:sz="4"/>
            </w:tcBorders>
            <w:shd w:fill="D5E3F5" w:val="clear"/>
            <w:tcMar>
              <w:top w:type="dxa" w:w="60"/>
              <w:left w:type="dxa" w:w="100"/>
              <w:bottom w:type="dxa" w:w="60"/>
              <w:right w:type="dxa" w:w="100"/>
            </w:tcMar>
          </w:tcPr>
          <w:p>
            <w:pPr>
              <w:jc w:val="left"/>
            </w:pPr>
            <w:r>
              <w:rPr>
                <w:rFonts w:ascii="맑은 고딕" w:cs="맑은 고딕" w:eastAsia="맑은 고딕" w:hAnsi="맑은 고딕"/>
                <w:b/>
                <w:bCs/>
                <w:sz w:val="18"/>
                <w:szCs w:val="18"/>
              </w:rPr>
              <w:t xml:space="preserve">중앙값</w:t>
            </w:r>
          </w:p>
        </w:tc>
        <w:tc>
          <w:tcPr>
            <w:tcW w:type="dxa" w:w="1512"/>
            <w:tcBorders>
              <w:top w:val="single" w:color="AAAAAA" w:sz="4"/>
              <w:left w:val="single" w:color="AAAAAA" w:sz="4"/>
              <w:bottom w:val="single" w:color="AAAAAA" w:sz="4"/>
              <w:right w:val="single" w:color="AAAAAA" w:sz="4"/>
            </w:tcBorders>
            <w:shd w:fill="D5E3F5" w:val="clear"/>
            <w:tcMar>
              <w:top w:type="dxa" w:w="60"/>
              <w:left w:type="dxa" w:w="100"/>
              <w:bottom w:type="dxa" w:w="60"/>
              <w:right w:type="dxa" w:w="100"/>
            </w:tcMar>
          </w:tcPr>
          <w:p>
            <w:pPr>
              <w:jc w:val="left"/>
            </w:pPr>
            <w:r>
              <w:rPr>
                <w:rFonts w:ascii="맑은 고딕" w:cs="맑은 고딕" w:eastAsia="맑은 고딕" w:hAnsi="맑은 고딕"/>
                <w:b/>
                <w:bCs/>
                <w:sz w:val="18"/>
                <w:szCs w:val="18"/>
              </w:rPr>
              <w:t xml:space="preserve">최소</w:t>
            </w:r>
          </w:p>
        </w:tc>
        <w:tc>
          <w:tcPr>
            <w:tcW w:type="dxa" w:w="1512"/>
            <w:tcBorders>
              <w:top w:val="single" w:color="AAAAAA" w:sz="4"/>
              <w:left w:val="single" w:color="AAAAAA" w:sz="4"/>
              <w:bottom w:val="single" w:color="AAAAAA" w:sz="4"/>
              <w:right w:val="single" w:color="AAAAAA" w:sz="4"/>
            </w:tcBorders>
            <w:shd w:fill="D5E3F5" w:val="clear"/>
            <w:tcMar>
              <w:top w:type="dxa" w:w="60"/>
              <w:left w:type="dxa" w:w="100"/>
              <w:bottom w:type="dxa" w:w="60"/>
              <w:right w:type="dxa" w:w="100"/>
            </w:tcMar>
          </w:tcPr>
          <w:p>
            <w:pPr>
              <w:jc w:val="left"/>
            </w:pPr>
            <w:r>
              <w:rPr>
                <w:rFonts w:ascii="맑은 고딕" w:cs="맑은 고딕" w:eastAsia="맑은 고딕" w:hAnsi="맑은 고딕"/>
                <w:b/>
                <w:bCs/>
                <w:sz w:val="18"/>
                <w:szCs w:val="18"/>
              </w:rPr>
              <w:t xml:space="preserve">최대</w:t>
            </w:r>
          </w:p>
        </w:tc>
        <w:tc>
          <w:tcPr>
            <w:tcW w:type="dxa" w:w="1512"/>
            <w:tcBorders>
              <w:top w:val="single" w:color="AAAAAA" w:sz="4"/>
              <w:left w:val="single" w:color="AAAAAA" w:sz="4"/>
              <w:bottom w:val="single" w:color="AAAAAA" w:sz="4"/>
              <w:right w:val="single" w:color="AAAAAA" w:sz="4"/>
            </w:tcBorders>
            <w:shd w:fill="D5E3F5" w:val="clear"/>
            <w:tcMar>
              <w:top w:type="dxa" w:w="60"/>
              <w:left w:type="dxa" w:w="100"/>
              <w:bottom w:type="dxa" w:w="60"/>
              <w:right w:type="dxa" w:w="100"/>
            </w:tcMar>
          </w:tcPr>
          <w:p>
            <w:pPr>
              <w:jc w:val="left"/>
            </w:pPr>
            <w:r>
              <w:rPr>
                <w:rFonts w:ascii="맑은 고딕" w:cs="맑은 고딕" w:eastAsia="맑은 고딕" w:hAnsi="맑은 고딕"/>
                <w:b/>
                <w:bCs/>
                <w:sz w:val="18"/>
                <w:szCs w:val="18"/>
              </w:rPr>
              <w:t xml:space="preserve">편차비</w:t>
            </w:r>
          </w:p>
        </w:tc>
      </w:tr>
      <w:tr>
        <w:tc>
          <w:tcPr>
            <w:tcW w:type="dxa" w:w="1512"/>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글자 수</w:t>
            </w:r>
          </w:p>
        </w:tc>
        <w:tc>
          <w:tcPr>
            <w:tcW w:type="dxa" w:w="1512"/>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34,773</w:t>
            </w:r>
          </w:p>
        </w:tc>
        <w:tc>
          <w:tcPr>
            <w:tcW w:type="dxa" w:w="1512"/>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25,872</w:t>
            </w:r>
          </w:p>
        </w:tc>
        <w:tc>
          <w:tcPr>
            <w:tcW w:type="dxa" w:w="1512"/>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4,513</w:t>
            </w:r>
          </w:p>
        </w:tc>
        <w:tc>
          <w:tcPr>
            <w:tcW w:type="dxa" w:w="1512"/>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189,606</w:t>
            </w:r>
          </w:p>
        </w:tc>
        <w:tc>
          <w:tcPr>
            <w:tcW w:type="dxa" w:w="1512"/>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42.0배</w:t>
            </w:r>
          </w:p>
        </w:tc>
      </w:tr>
    </w:tbl>
    <w:p>
      <w:pPr>
        <w:spacing w:after="100" w:before="0"/>
      </w:pPr>
      <w:r>
        <w:t xml:space="preserve"/>
      </w:r>
    </w:p>
    <w:p>
      <w:pPr>
        <w:spacing w:after="100" w:before="220" w:line="384" w:lineRule="auto"/>
        <w:jc w:val="left"/>
      </w:pPr>
      <w:r>
        <w:rPr>
          <w:rFonts w:ascii="맑은 고딕" w:cs="맑은 고딕" w:eastAsia="맑은 고딕" w:hAnsi="맑은 고딕"/>
          <w:b/>
          <w:bCs/>
          <w:sz w:val="25"/>
          <w:szCs w:val="25"/>
        </w:rPr>
        <w:t xml:space="preserve">3. Method</w:t>
      </w:r>
    </w:p>
    <w:p>
      <w:pPr>
        <w:spacing w:after="80" w:before="150" w:line="384" w:lineRule="auto"/>
        <w:jc w:val="left"/>
      </w:pPr>
      <w:r>
        <w:rPr>
          <w:rFonts w:ascii="맑은 고딕" w:cs="맑은 고딕" w:eastAsia="맑은 고딕" w:hAnsi="맑은 고딕"/>
          <w:b/>
          <w:bCs/>
          <w:sz w:val="22"/>
          <w:szCs w:val="22"/>
        </w:rPr>
        <w:t xml:space="preserve">3.1 형태소 분석기 선택</w:t>
      </w:r>
    </w:p>
    <w:p>
      <w:pPr>
        <w:spacing w:after="120" w:before="0" w:line="384" w:lineRule="auto"/>
        <w:jc w:val="both"/>
      </w:pPr>
      <w:r>
        <w:rPr>
          <w:rFonts w:ascii="맑은 고딕" w:cs="맑은 고딕" w:eastAsia="맑은 고딕" w:hAnsi="맑은 고딕"/>
          <w:sz w:val="21"/>
          <w:szCs w:val="21"/>
        </w:rPr>
        <w:t xml:space="preserve">한국어는 조사·어미가 결합하고 복합명사가 많아 공백 토큰화만으로는 ESG 개념을 안정적으로 세기 어렵다. "재생에너지"·"감사위원회"가 "재생+에너지"처럼 쪼개지면 feature가 본래 개념을 잃으므로, 분석기 선택 기준은 속도가 아니라 ESG 핵심 어휘 보존율이었다. Kiwi는 기본 상태에서 seed 30개 중 18개(60%)를 보존했으나 사용자 사전(score=50)을 적용하자 28개(93%)로 올랐고, Okt는 20개(67%), BERT subword(klue/bert-base)는 합성어를 잘게 나누어 16개(53%)에 머물렀다. 사전 기반 점수에는 합성어 보존이 필수이므로 Kiwi 사용자 사전을 채택하였다. 불용어는 일반 경영어·회사명 분해 토큰·정형어를 줄이되, "에너지"처럼 회사명에서 분해된 ESG 관련어가 사라지지 않도록 seed 30개는 강제로 보호하였다.</w:t>
      </w:r>
    </w:p>
    <w:p>
      <w:pPr>
        <w:spacing w:after="0" w:before="80"/>
        <w:jc w:val="center"/>
      </w:pPr>
      <w:r>
        <w:drawing>
          <wp:inline distT="0" distB="0" distL="0" distR="0">
            <wp:extent cx="4667250" cy="1695450"/>
            <wp:effectExtent t="0" r="0" b="0" l="0"/>
            <wp:docPr id="1" name="형태소 분석기 seed 보존율 비교" descr="형태소 분석기 seed 보존율 비교" title="형태소 분석기 seed 보존율 비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667250" cy="1695450"/>
                    </a:xfrm>
                    <a:prstGeom prst="rect">
                      <a:avLst/>
                    </a:prstGeom>
                  </pic:spPr>
                </pic:pic>
              </a:graphicData>
            </a:graphic>
          </wp:inline>
        </w:drawing>
      </w:r>
    </w:p>
    <w:p>
      <w:pPr>
        <w:spacing w:after="70" w:before="50" w:line="280" w:lineRule="auto"/>
        <w:jc w:val="left"/>
      </w:pPr>
      <w:r>
        <w:rPr>
          <w:rFonts w:ascii="맑은 고딕" w:cs="맑은 고딕" w:eastAsia="맑은 고딕" w:hAnsi="맑은 고딕"/>
          <w:i/>
          <w:iCs/>
          <w:sz w:val="18"/>
          <w:szCs w:val="18"/>
        </w:rPr>
        <w:t xml:space="preserve">그림 1. 형태소 분석기 seed 보존율 비교. Kiwi 사용자 사전(짙은 막대)이 전 차원에서 ESG seed를 가장 많이 보존한다.</w:t>
      </w:r>
    </w:p>
    <w:p>
      <w:pPr>
        <w:spacing w:after="80" w:before="150" w:line="384" w:lineRule="auto"/>
        <w:jc w:val="left"/>
      </w:pPr>
      <w:r>
        <w:rPr>
          <w:rFonts w:ascii="맑은 고딕" w:cs="맑은 고딕" w:eastAsia="맑은 고딕" w:hAnsi="맑은 고딕"/>
          <w:b/>
          <w:bCs/>
          <w:sz w:val="22"/>
          <w:szCs w:val="22"/>
        </w:rPr>
        <w:t xml:space="preserve">3.2 TF-IDF와 seed score</w:t>
      </w:r>
    </w:p>
    <w:p>
      <w:pPr>
        <w:spacing w:after="120" w:before="0" w:line="384" w:lineRule="auto"/>
        <w:jc w:val="both"/>
      </w:pPr>
      <w:r>
        <w:rPr>
          <w:rFonts w:ascii="맑은 고딕" w:cs="맑은 고딕" w:eastAsia="맑은 고딕" w:hAnsi="맑은 고딕"/>
          <w:sz w:val="21"/>
          <w:szCs w:val="21"/>
        </w:rPr>
        <w:t xml:space="preserve">TF-IDF는 특정 문서에서 자주 나오면서 전체 corpus에서는 흔하지 않은 단어에 높은 값을 준다. 파라미터는 희귀어 노이즈 제거를 위한 min_df=5, 보일러플레이트 제거를 위한 max_df=0.80, 반복어 과대반응 완화를 위한 sublinear_tf=True를 두었다. max_df=0.80은 "이사회"·"주주" 같은 G seed 7개를 어휘에서 제외하는데, 이것이 G 신호를 인위적으로 죽인 선택인지 확인하기 위해 max_df를 1.00까지 높이며 seed_G와 g_grade 상관을 추적하였다.</w:t>
      </w:r>
    </w:p>
    <w:p>
      <w:pPr>
        <w:spacing w:after="0" w:before="80"/>
        <w:jc w:val="center"/>
      </w:pPr>
      <w:r>
        <w:drawing>
          <wp:inline distT="0" distB="0" distL="0" distR="0">
            <wp:extent cx="4048125" cy="2247900"/>
            <wp:effectExtent t="0" r="0" b="0" l="0"/>
            <wp:docPr id="1" name="max_df sweep" descr="max_df sweep" title="max_df swe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48125" cy="2247900"/>
                    </a:xfrm>
                    <a:prstGeom prst="rect">
                      <a:avLst/>
                    </a:prstGeom>
                  </pic:spPr>
                </pic:pic>
              </a:graphicData>
            </a:graphic>
          </wp:inline>
        </w:drawing>
      </w:r>
    </w:p>
    <w:p>
      <w:pPr>
        <w:spacing w:after="70" w:before="50" w:line="280" w:lineRule="auto"/>
        <w:jc w:val="left"/>
      </w:pPr>
      <w:r>
        <w:rPr>
          <w:rFonts w:ascii="맑은 고딕" w:cs="맑은 고딕" w:eastAsia="맑은 고딕" w:hAnsi="맑은 고딕"/>
          <w:i/>
          <w:iCs/>
          <w:sz w:val="18"/>
          <w:szCs w:val="18"/>
        </w:rPr>
        <w:t xml:space="preserve">그림 2. max_df 값에 따른 seed_G ↔ g_grade Spearman ρ 변화. 0.80–0.95에서 ρ는 0.27–0.30으로 안정적이나, 0.99에서 0.108로 급락하고 1.00에서 −0.162로 반전된다.</w:t>
      </w:r>
    </w:p>
    <w:p>
      <w:pPr>
        <w:spacing w:after="120" w:before="0" w:line="384" w:lineRule="auto"/>
        <w:jc w:val="both"/>
      </w:pPr>
      <w:r>
        <w:rPr>
          <w:rFonts w:ascii="맑은 고딕" w:cs="맑은 고딕" w:eastAsia="맑은 고딕" w:hAnsi="맑은 고딕"/>
          <w:sz w:val="21"/>
          <w:szCs w:val="21"/>
        </w:rPr>
        <w:t xml:space="preserve">보편적 의무공시 어휘를 넣을수록 신호가 무너지고 끝내 음으로 뒤집히는 것은, 그 어휘가 변별력이 없을 뿐 아니라 많이 쓰는 것이 높은 등급의 지표가 아니라는 뜻이다. 따라서 max_df=0.80은 G 신호 보존에 필요한 견고한 선택이며, seed_G가 약한 것은 파라미터 부작용이 아니라 의무공시 어휘 자체의 한계를 드러낸 진단이다. 차원별로 E·S seed는 10/10이 어휘에 포함되었으나 G는 3/10에 그쳐, 이것이 확장 사전 도입의 직접적 이유가 되었다.</w:t>
      </w:r>
    </w:p>
    <w:p>
      <w:pPr>
        <w:spacing w:after="80" w:before="150" w:line="384" w:lineRule="auto"/>
        <w:jc w:val="left"/>
      </w:pPr>
      <w:r>
        <w:rPr>
          <w:rFonts w:ascii="맑은 고딕" w:cs="맑은 고딕" w:eastAsia="맑은 고딕" w:hAnsi="맑은 고딕"/>
          <w:b/>
          <w:bCs/>
          <w:sz w:val="22"/>
          <w:szCs w:val="22"/>
        </w:rPr>
        <w:t xml:space="preserve">3.3 FastText 기반 확장 사전</w:t>
      </w:r>
    </w:p>
    <w:p>
      <w:pPr>
        <w:spacing w:after="120" w:before="0" w:line="384" w:lineRule="auto"/>
        <w:jc w:val="both"/>
      </w:pPr>
      <w:r>
        <w:rPr>
          <w:rFonts w:ascii="맑은 고딕" w:cs="맑은 고딕" w:eastAsia="맑은 고딕" w:hAnsi="맑은 고딕"/>
          <w:sz w:val="21"/>
          <w:szCs w:val="21"/>
        </w:rPr>
        <w:t xml:space="preserve">seed 30개만으로는 기업이 실제 쓰는 다양한 표현을 포착하기 어렵다. 외부 사전 대신 분석 corpus에서 FastText를 학습했는데, skip-gram은 문서가 적을 때(381건) 희소 단어 학습에 유리하고, min_count=3은 "넷제로"·"부패방지" 같은 저빈도 핵심어가 더 높은 기준에서 제외되는 위험을 피한다. 확장 후보는 seed와의 cosine 유사도 임계값 θ를 넘는 단어로 정했다. θ를 0.55–0.75로 훑어 후보 수·잡음·검토 가능성을 비교한 결과 θ=0.65를 택했다. θ=0.60(770개)은 직접 검토가 비현실적이고 θ=0.70(286개)은 희소한 S 후보를 잃는 반면, θ=0.65는 약 493개로 사람이 전수 검토할 수 있으면서 잡음 비율이 1.0% 수준이었다. 임베딩은 고유명사·시사 노이즈도 가까운 후보로 가져오므로 후보를 그대로 쓰지 않고, 자동 필터(2자 미만·숫자·중복 제거) 후 사람이 인명·지명·오분리 등을 직접 기각하였다. 초기 660개가 자동 필터로 475개, 수동 검토로 433개가 최종 확정되었으며, 기각률은 S에서 40.7%로 가장 높아 S 신호의 희소성을 다시 확인하였다. 확장 점수는 seed 대비 E +195%·S +63%·G +2185%로 G에서 보완 효과가 가장 컸다.</w:t>
      </w:r>
    </w:p>
    <w:p>
      <w:pPr>
        <w:spacing w:after="80" w:before="150" w:line="384" w:lineRule="auto"/>
        <w:jc w:val="left"/>
      </w:pPr>
      <w:r>
        <w:rPr>
          <w:rFonts w:ascii="맑은 고딕" w:cs="맑은 고딕" w:eastAsia="맑은 고딕" w:hAnsi="맑은 고딕"/>
          <w:b/>
          <w:bCs/>
          <w:sz w:val="22"/>
          <w:szCs w:val="22"/>
        </w:rPr>
        <w:t xml:space="preserve">3.4 측정 타당도 교차검증</w:t>
      </w:r>
    </w:p>
    <w:p>
      <w:pPr>
        <w:spacing w:after="120" w:before="0" w:line="384" w:lineRule="auto"/>
        <w:jc w:val="both"/>
      </w:pPr>
      <w:r>
        <w:rPr>
          <w:rFonts w:ascii="맑은 고딕" w:cs="맑은 고딕" w:eastAsia="맑은 고딕" w:hAnsi="맑은 고딕"/>
          <w:sz w:val="21"/>
          <w:szCs w:val="21"/>
        </w:rPr>
        <w:t xml:space="preserve">사전 기반 TF-IDF가 ESG 의미를 제대로 잡는지 점검하기 위해, 한국어 문장 임베딩(ko-sroberta-multitask)으로 의미 유사도(dense cosine)를 계산해 TF-IDF cosine과 비교하였다.</w:t>
      </w:r>
    </w:p>
    <w:p>
      <w:pPr>
        <w:spacing w:after="0" w:before="80"/>
        <w:jc w:val="center"/>
      </w:pPr>
      <w:r>
        <w:drawing>
          <wp:inline distT="0" distB="0" distL="0" distR="0">
            <wp:extent cx="4048125" cy="2114550"/>
            <wp:effectExtent t="0" r="0" b="0" l="0"/>
            <wp:docPr id="1" name="Dense vs TF-IDF 비교" descr="Dense vs TF-IDF 비교" title="Dense vs TF-IDF 비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48125" cy="2114550"/>
                    </a:xfrm>
                    <a:prstGeom prst="rect">
                      <a:avLst/>
                    </a:prstGeom>
                  </pic:spPr>
                </pic:pic>
              </a:graphicData>
            </a:graphic>
          </wp:inline>
        </w:drawing>
      </w:r>
    </w:p>
    <w:p>
      <w:pPr>
        <w:spacing w:after="70" w:before="50" w:line="280" w:lineRule="auto"/>
        <w:jc w:val="left"/>
      </w:pPr>
      <w:r>
        <w:rPr>
          <w:rFonts w:ascii="맑은 고딕" w:cs="맑은 고딕" w:eastAsia="맑은 고딕" w:hAnsi="맑은 고딕"/>
          <w:i/>
          <w:iCs/>
          <w:sz w:val="18"/>
          <w:szCs w:val="18"/>
        </w:rPr>
        <w:t xml:space="preserve">그림 3. 의미 임베딩(dense)과 단어 기반(TF-IDF) cosine의 등급 상관 비교. 세 차원 모두 TF-IDF의 ρ가 dense보다 높다(E 0.367 vs 0.229, S 0.276 vs −0.144, G 0.290 vs −0.031).</w:t>
      </w:r>
    </w:p>
    <w:p>
      <w:pPr>
        <w:spacing w:after="120" w:before="0" w:line="384" w:lineRule="auto"/>
        <w:jc w:val="both"/>
      </w:pPr>
      <w:r>
        <w:rPr>
          <w:rFonts w:ascii="맑은 고딕" w:cs="맑은 고딕" w:eastAsia="맑은 고딕" w:hAnsi="맑은 고딕"/>
          <w:sz w:val="21"/>
          <w:szCs w:val="21"/>
        </w:rPr>
        <w:t xml:space="preserve">최신 의미 임베딩이 항상 낫다는 통념과 달리, 짧은 기준 문장과 긴 문서를 비교하는 이 설정에서는 의미 임베딩이 다양한 서술을 한 점으로 압축해 변별력이 떨어지고 일반 도메인 모델이라 공시체 표현을 놓쳤다. 이 정직한 반증은 본 분석이 TF-IDF 계열을 주력 feature로 삼는 선택이 이 과제에서 타당함을 역으로 뒷받침한다.</w:t>
      </w:r>
    </w:p>
    <w:p>
      <w:pPr>
        <w:spacing w:after="80" w:before="150" w:line="384" w:lineRule="auto"/>
        <w:jc w:val="left"/>
      </w:pPr>
      <w:r>
        <w:rPr>
          <w:rFonts w:ascii="맑은 고딕" w:cs="맑은 고딕" w:eastAsia="맑은 고딕" w:hAnsi="맑은 고딕"/>
          <w:b/>
          <w:bCs/>
          <w:sz w:val="22"/>
          <w:szCs w:val="22"/>
        </w:rPr>
        <w:t xml:space="preserve">3.5 회귀 설계</w:t>
      </w:r>
    </w:p>
    <w:p>
      <w:pPr>
        <w:spacing w:after="120" w:before="0" w:line="384" w:lineRule="auto"/>
        <w:jc w:val="both"/>
      </w:pPr>
      <w:r>
        <w:rPr>
          <w:rFonts w:ascii="맑은 고딕" w:cs="맑은 고딕" w:eastAsia="맑은 고딕" w:hAnsi="맑은 고딕"/>
          <w:sz w:val="21"/>
          <w:szCs w:val="21"/>
        </w:rPr>
        <w:t xml:space="preserve">서열형 등급의 성격을 고려해 세 모형을 병행하였다. OLS는 직관적 baseline, Ordered Logit은 등간성을 가정하지 않는 순서 모형, Binary Logit(A 이상 여부)은 해석이 쉬운 강건성 확인용이다. 모든 모형에 분량(log_n_tokens)을 넣어 분량 효과를 제거했고(M1), 기업 규모가 분량과 등급을 동시에 끌어올리는 교란일 수 있어 규모·수익성·재무위험을 추가 통제한 모형(M2, n=344)도 추정하였다. seed·expanded·cosine은 상호 상관이 높아(E r=0.937) 한 식에 같이 넣지 않고 set별로 나누어 결론의 반복을 확인하였다.</w:t>
      </w:r>
    </w:p>
    <w:p>
      <w:pPr>
        <w:spacing w:after="100" w:before="220" w:line="384" w:lineRule="auto"/>
        <w:jc w:val="left"/>
      </w:pPr>
      <w:r>
        <w:rPr>
          <w:rFonts w:ascii="맑은 고딕" w:cs="맑은 고딕" w:eastAsia="맑은 고딕" w:hAnsi="맑은 고딕"/>
          <w:b/>
          <w:bCs/>
          <w:sz w:val="25"/>
          <w:szCs w:val="25"/>
        </w:rPr>
        <w:t xml:space="preserve">4. Results</w:t>
      </w:r>
    </w:p>
    <w:p>
      <w:pPr>
        <w:spacing w:after="80" w:before="150" w:line="384" w:lineRule="auto"/>
        <w:jc w:val="left"/>
      </w:pPr>
      <w:r>
        <w:rPr>
          <w:rFonts w:ascii="맑은 고딕" w:cs="맑은 고딕" w:eastAsia="맑은 고딕" w:hAnsi="맑은 고딕"/>
          <w:b/>
          <w:bCs/>
          <w:sz w:val="22"/>
          <w:szCs w:val="22"/>
        </w:rPr>
        <w:t xml:space="preserve">4.1 공시 분량이 ESG 어휘보다 강하게 연관된다</w:t>
      </w:r>
    </w:p>
    <w:p>
      <w:pPr>
        <w:spacing w:after="120" w:before="0" w:line="384" w:lineRule="auto"/>
        <w:jc w:val="both"/>
      </w:pPr>
      <w:r>
        <w:rPr>
          <w:rFonts w:ascii="맑은 고딕" w:cs="맑은 고딕" w:eastAsia="맑은 고딕" w:hAnsi="맑은 고딕"/>
          <w:sz w:val="21"/>
          <w:szCs w:val="21"/>
        </w:rPr>
        <w:t xml:space="preserve">회귀 전, 등급 4종과 feature 10개를 교차한 40개 검정을 BH-FDR로 보정한 결과 모두 p&lt;0.01로 유의했다. 그러나 핵심은 ESG 어휘가 아니라 단순 토큰 수가 등급과 가장 강하게 연관되었다는 점이다.</w:t>
      </w:r>
    </w:p>
    <w:p>
      <w:pPr>
        <w:spacing w:after="70" w:before="50" w:line="280" w:lineRule="auto"/>
        <w:jc w:val="left"/>
      </w:pPr>
      <w:r>
        <w:rPr>
          <w:rFonts w:ascii="맑은 고딕" w:cs="맑은 고딕" w:eastAsia="맑은 고딕" w:hAnsi="맑은 고딕"/>
          <w:i/>
          <w:iCs/>
          <w:sz w:val="18"/>
          <w:szCs w:val="18"/>
        </w:rPr>
        <w:t xml:space="preserve">표 2. 주요 feature와 ESG 통합등급 간 Spearman ρ (FDR 보정 후 40/40 유의)</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900"/>
        <w:gridCol w:w="1636"/>
        <w:gridCol w:w="2900"/>
        <w:gridCol w:w="1636"/>
      </w:tblGrid>
      <w:tr>
        <w:trPr>
          <w:tblHeader/>
        </w:trPr>
        <w:tc>
          <w:tcPr>
            <w:tcW w:type="dxa" w:w="2900"/>
            <w:tcBorders>
              <w:top w:val="single" w:color="AAAAAA" w:sz="4"/>
              <w:left w:val="single" w:color="AAAAAA" w:sz="4"/>
              <w:bottom w:val="single" w:color="AAAAAA" w:sz="4"/>
              <w:right w:val="single" w:color="AAAAAA" w:sz="4"/>
            </w:tcBorders>
            <w:shd w:fill="D5E3F5" w:val="clear"/>
            <w:tcMar>
              <w:top w:type="dxa" w:w="60"/>
              <w:left w:type="dxa" w:w="100"/>
              <w:bottom w:type="dxa" w:w="60"/>
              <w:right w:type="dxa" w:w="100"/>
            </w:tcMar>
          </w:tcPr>
          <w:p>
            <w:pPr>
              <w:jc w:val="left"/>
            </w:pPr>
            <w:r>
              <w:rPr>
                <w:rFonts w:ascii="맑은 고딕" w:cs="맑은 고딕" w:eastAsia="맑은 고딕" w:hAnsi="맑은 고딕"/>
                <w:b/>
                <w:bCs/>
                <w:sz w:val="18"/>
                <w:szCs w:val="18"/>
              </w:rPr>
              <w:t xml:space="preserve">feature</w:t>
            </w:r>
          </w:p>
        </w:tc>
        <w:tc>
          <w:tcPr>
            <w:tcW w:type="dxa" w:w="1636"/>
            <w:tcBorders>
              <w:top w:val="single" w:color="AAAAAA" w:sz="4"/>
              <w:left w:val="single" w:color="AAAAAA" w:sz="4"/>
              <w:bottom w:val="single" w:color="AAAAAA" w:sz="4"/>
              <w:right w:val="single" w:color="AAAAAA" w:sz="4"/>
            </w:tcBorders>
            <w:shd w:fill="D5E3F5" w:val="clear"/>
            <w:tcMar>
              <w:top w:type="dxa" w:w="60"/>
              <w:left w:type="dxa" w:w="100"/>
              <w:bottom w:type="dxa" w:w="60"/>
              <w:right w:type="dxa" w:w="100"/>
            </w:tcMar>
          </w:tcPr>
          <w:p>
            <w:pPr>
              <w:jc w:val="left"/>
            </w:pPr>
            <w:r>
              <w:rPr>
                <w:rFonts w:ascii="맑은 고딕" w:cs="맑은 고딕" w:eastAsia="맑은 고딕" w:hAnsi="맑은 고딕"/>
                <w:b/>
                <w:bCs/>
                <w:sz w:val="18"/>
                <w:szCs w:val="18"/>
              </w:rPr>
              <w:t xml:space="preserve">ρ</w:t>
            </w:r>
          </w:p>
        </w:tc>
        <w:tc>
          <w:tcPr>
            <w:tcW w:type="dxa" w:w="2900"/>
            <w:tcBorders>
              <w:top w:val="single" w:color="AAAAAA" w:sz="4"/>
              <w:left w:val="single" w:color="AAAAAA" w:sz="4"/>
              <w:bottom w:val="single" w:color="AAAAAA" w:sz="4"/>
              <w:right w:val="single" w:color="AAAAAA" w:sz="4"/>
            </w:tcBorders>
            <w:shd w:fill="D5E3F5" w:val="clear"/>
            <w:tcMar>
              <w:top w:type="dxa" w:w="60"/>
              <w:left w:type="dxa" w:w="100"/>
              <w:bottom w:type="dxa" w:w="60"/>
              <w:right w:type="dxa" w:w="100"/>
            </w:tcMar>
          </w:tcPr>
          <w:p>
            <w:pPr>
              <w:jc w:val="left"/>
            </w:pPr>
            <w:r>
              <w:rPr>
                <w:rFonts w:ascii="맑은 고딕" w:cs="맑은 고딕" w:eastAsia="맑은 고딕" w:hAnsi="맑은 고딕"/>
                <w:b/>
                <w:bCs/>
                <w:sz w:val="18"/>
                <w:szCs w:val="18"/>
              </w:rPr>
              <w:t xml:space="preserve">feature</w:t>
            </w:r>
          </w:p>
        </w:tc>
        <w:tc>
          <w:tcPr>
            <w:tcW w:type="dxa" w:w="1636"/>
            <w:tcBorders>
              <w:top w:val="single" w:color="AAAAAA" w:sz="4"/>
              <w:left w:val="single" w:color="AAAAAA" w:sz="4"/>
              <w:bottom w:val="single" w:color="AAAAAA" w:sz="4"/>
              <w:right w:val="single" w:color="AAAAAA" w:sz="4"/>
            </w:tcBorders>
            <w:shd w:fill="D5E3F5" w:val="clear"/>
            <w:tcMar>
              <w:top w:type="dxa" w:w="60"/>
              <w:left w:type="dxa" w:w="100"/>
              <w:bottom w:type="dxa" w:w="60"/>
              <w:right w:type="dxa" w:w="100"/>
            </w:tcMar>
          </w:tcPr>
          <w:p>
            <w:pPr>
              <w:jc w:val="left"/>
            </w:pPr>
            <w:r>
              <w:rPr>
                <w:rFonts w:ascii="맑은 고딕" w:cs="맑은 고딕" w:eastAsia="맑은 고딕" w:hAnsi="맑은 고딕"/>
                <w:b/>
                <w:bCs/>
                <w:sz w:val="18"/>
                <w:szCs w:val="18"/>
              </w:rPr>
              <w:t xml:space="preserve">ρ</w:t>
            </w:r>
          </w:p>
        </w:tc>
      </w:tr>
      <w:tr>
        <w:tc>
          <w:tcPr>
            <w:tcW w:type="dxa" w:w="2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n_tokens</w:t>
            </w:r>
          </w:p>
        </w:tc>
        <w:tc>
          <w:tcPr>
            <w:tcW w:type="dxa" w:w="163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0.663</w:t>
            </w:r>
          </w:p>
        </w:tc>
        <w:tc>
          <w:tcPr>
            <w:tcW w:type="dxa" w:w="2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seed_score_E</w:t>
            </w:r>
          </w:p>
        </w:tc>
        <w:tc>
          <w:tcPr>
            <w:tcW w:type="dxa" w:w="163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0.306</w:t>
            </w:r>
          </w:p>
        </w:tc>
      </w:tr>
      <w:tr>
        <w:tc>
          <w:tcPr>
            <w:tcW w:type="dxa" w:w="2900"/>
            <w:tcBorders>
              <w:top w:val="single" w:color="AAAAAA" w:sz="4"/>
              <w:left w:val="single" w:color="AAAAAA" w:sz="4"/>
              <w:bottom w:val="single" w:color="AAAAAA" w:sz="4"/>
              <w:right w:val="single" w:color="AAAAAA" w:sz="4"/>
            </w:tcBorders>
            <w:shd w:fill="F3F6FB"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expanded_score_G</w:t>
            </w:r>
          </w:p>
        </w:tc>
        <w:tc>
          <w:tcPr>
            <w:tcW w:type="dxa" w:w="1636"/>
            <w:tcBorders>
              <w:top w:val="single" w:color="AAAAAA" w:sz="4"/>
              <w:left w:val="single" w:color="AAAAAA" w:sz="4"/>
              <w:bottom w:val="single" w:color="AAAAAA" w:sz="4"/>
              <w:right w:val="single" w:color="AAAAAA" w:sz="4"/>
            </w:tcBorders>
            <w:shd w:fill="F3F6FB"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0.425</w:t>
            </w:r>
          </w:p>
        </w:tc>
        <w:tc>
          <w:tcPr>
            <w:tcW w:type="dxa" w:w="2900"/>
            <w:tcBorders>
              <w:top w:val="single" w:color="AAAAAA" w:sz="4"/>
              <w:left w:val="single" w:color="AAAAAA" w:sz="4"/>
              <w:bottom w:val="single" w:color="AAAAAA" w:sz="4"/>
              <w:right w:val="single" w:color="AAAAAA" w:sz="4"/>
            </w:tcBorders>
            <w:shd w:fill="F3F6FB"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seed_score_G</w:t>
            </w:r>
          </w:p>
        </w:tc>
        <w:tc>
          <w:tcPr>
            <w:tcW w:type="dxa" w:w="1636"/>
            <w:tcBorders>
              <w:top w:val="single" w:color="AAAAAA" w:sz="4"/>
              <w:left w:val="single" w:color="AAAAAA" w:sz="4"/>
              <w:bottom w:val="single" w:color="AAAAAA" w:sz="4"/>
              <w:right w:val="single" w:color="AAAAAA" w:sz="4"/>
            </w:tcBorders>
            <w:shd w:fill="F3F6FB"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0.248</w:t>
            </w:r>
          </w:p>
        </w:tc>
      </w:tr>
      <w:tr>
        <w:tc>
          <w:tcPr>
            <w:tcW w:type="dxa" w:w="2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expanded_score_E</w:t>
            </w:r>
          </w:p>
        </w:tc>
        <w:tc>
          <w:tcPr>
            <w:tcW w:type="dxa" w:w="163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0.373</w:t>
            </w:r>
          </w:p>
        </w:tc>
        <w:tc>
          <w:tcPr>
            <w:tcW w:type="dxa" w:w="2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expanded_score_S</w:t>
            </w:r>
          </w:p>
        </w:tc>
        <w:tc>
          <w:tcPr>
            <w:tcW w:type="dxa" w:w="163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0.212</w:t>
            </w:r>
          </w:p>
        </w:tc>
      </w:tr>
    </w:tbl>
    <w:p>
      <w:pPr>
        <w:spacing w:after="120" w:before="0" w:line="384" w:lineRule="auto"/>
        <w:jc w:val="both"/>
      </w:pPr>
      <w:r>
        <w:rPr>
          <w:rFonts w:ascii="맑은 고딕" w:cs="맑은 고딕" w:eastAsia="맑은 고딕" w:hAnsi="맑은 고딕"/>
          <w:sz w:val="21"/>
          <w:szCs w:val="21"/>
        </w:rPr>
        <w:t xml:space="preserve">토큰 수의 ρ=0.663은 어떤 개별 ESG feature(최대 0.451)보다 높다. A 이상 기업(138건)의 평균 토큰 수는 7,523으로 B+ 이하(243건)의 3,547보다 약 2.1배 많았고, Mann-Whitney U 효과크기는 r=0.649로 강했다. Binary Logit에서 log_n_tokens의 승산비는 약 7.9로, 토큰 수가 e배(약 2.7배) 늘 때 A 이상 등급일 odds가 약 8배 높아진다(확률이 8배가 아님에 유의). ESG feature는 모두 유의했으나 효과는 약함~중간에 머물렀고, 가장 큰 연관은 분량이 차지했다.</w:t>
      </w:r>
    </w:p>
    <w:p>
      <w:pPr>
        <w:spacing w:after="80" w:before="150" w:line="384" w:lineRule="auto"/>
        <w:jc w:val="left"/>
      </w:pPr>
      <w:r>
        <w:rPr>
          <w:rFonts w:ascii="맑은 고딕" w:cs="맑은 고딕" w:eastAsia="맑은 고딕" w:hAnsi="맑은 고딕"/>
          <w:b/>
          <w:bCs/>
          <w:sz w:val="22"/>
          <w:szCs w:val="22"/>
        </w:rPr>
        <w:t xml:space="preserve">4.2 분량·규모를 통제하면 G만 독립 신호로 남는다</w:t>
      </w:r>
    </w:p>
    <w:p>
      <w:pPr>
        <w:spacing w:after="120" w:before="0" w:line="384" w:lineRule="auto"/>
        <w:jc w:val="both"/>
      </w:pPr>
      <w:r>
        <w:rPr>
          <w:rFonts w:ascii="맑은 고딕" w:cs="맑은 고딕" w:eastAsia="맑은 고딕" w:hAnsi="맑은 고딕"/>
          <w:sz w:val="21"/>
          <w:szCs w:val="21"/>
        </w:rPr>
        <w:t xml:space="preserve">분량을 통제한 OLS(M1)에서 확장 모형의 R²은 0.476, log_n_tokens 계수가 1.297(p&lt;0.001)로 가장 컸다. ESG feature 중에서는 expanded_G만 강하게 유의했고(β=3.174, p&lt;0.001), expanded_E는 약하게(β=0.432, p=0.025), expanded_S는 비유의였다(β=−0.695). Ordered·Binary Logit에서도 expanded_G가 같은 방향으로 유의해(β=4.944, OR=27.1) 결론이 모형 선택에 좌우되지 않았다. 다음으로 기업 규모 교란을 분리하기 위해 재무변수를 추가하였다(M2).</w:t>
      </w:r>
    </w:p>
    <w:p>
      <w:pPr>
        <w:spacing w:after="0" w:before="80"/>
        <w:jc w:val="center"/>
      </w:pPr>
      <w:r>
        <w:drawing>
          <wp:inline distT="0" distB="0" distL="0" distR="0">
            <wp:extent cx="3810000" cy="1924050"/>
            <wp:effectExtent t="0" r="0" b="0" l="0"/>
            <wp:docPr id="1" name="M1→M2 계수 변화" descr="M1→M2 계수 변화" title="M1→M2 계수 변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1924050"/>
                    </a:xfrm>
                    <a:prstGeom prst="rect">
                      <a:avLst/>
                    </a:prstGeom>
                  </pic:spPr>
                </pic:pic>
              </a:graphicData>
            </a:graphic>
          </wp:inline>
        </w:drawing>
      </w:r>
    </w:p>
    <w:p>
      <w:pPr>
        <w:spacing w:after="70" w:before="50" w:line="280" w:lineRule="auto"/>
        <w:jc w:val="left"/>
      </w:pPr>
      <w:r>
        <w:rPr>
          <w:rFonts w:ascii="맑은 고딕" w:cs="맑은 고딕" w:eastAsia="맑은 고딕" w:hAnsi="맑은 고딕"/>
          <w:i/>
          <w:iCs/>
          <w:sz w:val="18"/>
          <w:szCs w:val="18"/>
        </w:rPr>
        <w:t xml:space="preserve">그림 4. 분량 통제(M1)와 재무통제 추가(M2)에 따른 계수 변화. expanded_G(파란 점)는 M2에서도 유의하게 유지되고, expanded_E(빨간 점)는 유의성이 사라진다.</w:t>
      </w:r>
    </w:p>
    <w:p>
      <w:pPr>
        <w:spacing w:after="70" w:before="50" w:line="280" w:lineRule="auto"/>
        <w:jc w:val="left"/>
      </w:pPr>
      <w:r>
        <w:rPr>
          <w:rFonts w:ascii="맑은 고딕" w:cs="맑은 고딕" w:eastAsia="맑은 고딕" w:hAnsi="맑은 고딕"/>
          <w:i/>
          <w:iCs/>
          <w:sz w:val="18"/>
          <w:szCs w:val="18"/>
        </w:rPr>
        <w:t xml:space="preserve">표 3. OLS 회귀 — 확장 사전 feature set. M2는 분량+재무 통제(n=344).</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472"/>
        <w:gridCol w:w="1500"/>
        <w:gridCol w:w="1500"/>
        <w:gridCol w:w="1300"/>
        <w:gridCol w:w="2300"/>
      </w:tblGrid>
      <w:tr>
        <w:trPr>
          <w:tblHeader/>
        </w:trPr>
        <w:tc>
          <w:tcPr>
            <w:tcW w:type="dxa" w:w="2472"/>
            <w:tcBorders>
              <w:top w:val="single" w:color="AAAAAA" w:sz="4"/>
              <w:left w:val="single" w:color="AAAAAA" w:sz="4"/>
              <w:bottom w:val="single" w:color="AAAAAA" w:sz="4"/>
              <w:right w:val="single" w:color="AAAAAA" w:sz="4"/>
            </w:tcBorders>
            <w:shd w:fill="D5E3F5" w:val="clear"/>
            <w:tcMar>
              <w:top w:type="dxa" w:w="60"/>
              <w:left w:type="dxa" w:w="100"/>
              <w:bottom w:type="dxa" w:w="60"/>
              <w:right w:type="dxa" w:w="100"/>
            </w:tcMar>
          </w:tcPr>
          <w:p>
            <w:pPr>
              <w:jc w:val="left"/>
            </w:pPr>
            <w:r>
              <w:rPr>
                <w:rFonts w:ascii="맑은 고딕" w:cs="맑은 고딕" w:eastAsia="맑은 고딕" w:hAnsi="맑은 고딕"/>
                <w:b/>
                <w:bCs/>
                <w:sz w:val="18"/>
                <w:szCs w:val="18"/>
              </w:rPr>
              <w:t xml:space="preserve">feature</w:t>
            </w:r>
          </w:p>
        </w:tc>
        <w:tc>
          <w:tcPr>
            <w:tcW w:type="dxa" w:w="1500"/>
            <w:tcBorders>
              <w:top w:val="single" w:color="AAAAAA" w:sz="4"/>
              <w:left w:val="single" w:color="AAAAAA" w:sz="4"/>
              <w:bottom w:val="single" w:color="AAAAAA" w:sz="4"/>
              <w:right w:val="single" w:color="AAAAAA" w:sz="4"/>
            </w:tcBorders>
            <w:shd w:fill="D5E3F5" w:val="clear"/>
            <w:tcMar>
              <w:top w:type="dxa" w:w="60"/>
              <w:left w:type="dxa" w:w="100"/>
              <w:bottom w:type="dxa" w:w="60"/>
              <w:right w:type="dxa" w:w="100"/>
            </w:tcMar>
          </w:tcPr>
          <w:p>
            <w:pPr>
              <w:jc w:val="left"/>
            </w:pPr>
            <w:r>
              <w:rPr>
                <w:rFonts w:ascii="맑은 고딕" w:cs="맑은 고딕" w:eastAsia="맑은 고딕" w:hAnsi="맑은 고딕"/>
                <w:b/>
                <w:bCs/>
                <w:sz w:val="18"/>
                <w:szCs w:val="18"/>
              </w:rPr>
              <w:t xml:space="preserve">M1 β</w:t>
            </w:r>
          </w:p>
        </w:tc>
        <w:tc>
          <w:tcPr>
            <w:tcW w:type="dxa" w:w="1500"/>
            <w:tcBorders>
              <w:top w:val="single" w:color="AAAAAA" w:sz="4"/>
              <w:left w:val="single" w:color="AAAAAA" w:sz="4"/>
              <w:bottom w:val="single" w:color="AAAAAA" w:sz="4"/>
              <w:right w:val="single" w:color="AAAAAA" w:sz="4"/>
            </w:tcBorders>
            <w:shd w:fill="D5E3F5" w:val="clear"/>
            <w:tcMar>
              <w:top w:type="dxa" w:w="60"/>
              <w:left w:type="dxa" w:w="100"/>
              <w:bottom w:type="dxa" w:w="60"/>
              <w:right w:type="dxa" w:w="100"/>
            </w:tcMar>
          </w:tcPr>
          <w:p>
            <w:pPr>
              <w:jc w:val="left"/>
            </w:pPr>
            <w:r>
              <w:rPr>
                <w:rFonts w:ascii="맑은 고딕" w:cs="맑은 고딕" w:eastAsia="맑은 고딕" w:hAnsi="맑은 고딕"/>
                <w:b/>
                <w:bCs/>
                <w:sz w:val="18"/>
                <w:szCs w:val="18"/>
              </w:rPr>
              <w:t xml:space="preserve">M2 β</w:t>
            </w:r>
          </w:p>
        </w:tc>
        <w:tc>
          <w:tcPr>
            <w:tcW w:type="dxa" w:w="1300"/>
            <w:tcBorders>
              <w:top w:val="single" w:color="AAAAAA" w:sz="4"/>
              <w:left w:val="single" w:color="AAAAAA" w:sz="4"/>
              <w:bottom w:val="single" w:color="AAAAAA" w:sz="4"/>
              <w:right w:val="single" w:color="AAAAAA" w:sz="4"/>
            </w:tcBorders>
            <w:shd w:fill="D5E3F5" w:val="clear"/>
            <w:tcMar>
              <w:top w:type="dxa" w:w="60"/>
              <w:left w:type="dxa" w:w="100"/>
              <w:bottom w:type="dxa" w:w="60"/>
              <w:right w:type="dxa" w:w="100"/>
            </w:tcMar>
          </w:tcPr>
          <w:p>
            <w:pPr>
              <w:jc w:val="left"/>
            </w:pPr>
            <w:r>
              <w:rPr>
                <w:rFonts w:ascii="맑은 고딕" w:cs="맑은 고딕" w:eastAsia="맑은 고딕" w:hAnsi="맑은 고딕"/>
                <w:b/>
                <w:bCs/>
                <w:sz w:val="18"/>
                <w:szCs w:val="18"/>
              </w:rPr>
              <w:t xml:space="preserve">M2 p</w:t>
            </w:r>
          </w:p>
        </w:tc>
        <w:tc>
          <w:tcPr>
            <w:tcW w:type="dxa" w:w="2300"/>
            <w:tcBorders>
              <w:top w:val="single" w:color="AAAAAA" w:sz="4"/>
              <w:left w:val="single" w:color="AAAAAA" w:sz="4"/>
              <w:bottom w:val="single" w:color="AAAAAA" w:sz="4"/>
              <w:right w:val="single" w:color="AAAAAA" w:sz="4"/>
            </w:tcBorders>
            <w:shd w:fill="D5E3F5" w:val="clear"/>
            <w:tcMar>
              <w:top w:type="dxa" w:w="60"/>
              <w:left w:type="dxa" w:w="100"/>
              <w:bottom w:type="dxa" w:w="60"/>
              <w:right w:type="dxa" w:w="100"/>
            </w:tcMar>
          </w:tcPr>
          <w:p>
            <w:pPr>
              <w:jc w:val="left"/>
            </w:pPr>
            <w:r>
              <w:rPr>
                <w:rFonts w:ascii="맑은 고딕" w:cs="맑은 고딕" w:eastAsia="맑은 고딕" w:hAnsi="맑은 고딕"/>
                <w:b/>
                <w:bCs/>
                <w:sz w:val="18"/>
                <w:szCs w:val="18"/>
              </w:rPr>
              <w:t xml:space="preserve">판정</w:t>
            </w:r>
          </w:p>
        </w:tc>
      </w:tr>
      <w:tr>
        <w:tc>
          <w:tcPr>
            <w:tcW w:type="dxa" w:w="2472"/>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expanded_G</w:t>
            </w:r>
          </w:p>
        </w:tc>
        <w:tc>
          <w:tcPr>
            <w:tcW w:type="dxa" w:w="15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+3.174</w:t>
            </w:r>
          </w:p>
        </w:tc>
        <w:tc>
          <w:tcPr>
            <w:tcW w:type="dxa" w:w="15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+1.955</w:t>
            </w:r>
          </w:p>
        </w:tc>
        <w:tc>
          <w:tcPr>
            <w:tcW w:type="dxa" w:w="13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&lt;0.001</w:t>
            </w:r>
          </w:p>
        </w:tc>
        <w:tc>
          <w:tcPr>
            <w:tcW w:type="dxa" w:w="23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 견고</w:t>
            </w:r>
          </w:p>
        </w:tc>
      </w:tr>
      <w:tr>
        <w:tc>
          <w:tcPr>
            <w:tcW w:type="dxa" w:w="2472"/>
            <w:tcBorders>
              <w:top w:val="single" w:color="AAAAAA" w:sz="4"/>
              <w:left w:val="single" w:color="AAAAAA" w:sz="4"/>
              <w:bottom w:val="single" w:color="AAAAAA" w:sz="4"/>
              <w:right w:val="single" w:color="AAAAAA" w:sz="4"/>
            </w:tcBorders>
            <w:shd w:fill="F3F6FB"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expanded_E</w:t>
            </w:r>
          </w:p>
        </w:tc>
        <w:tc>
          <w:tcPr>
            <w:tcW w:type="dxa" w:w="1500"/>
            <w:tcBorders>
              <w:top w:val="single" w:color="AAAAAA" w:sz="4"/>
              <w:left w:val="single" w:color="AAAAAA" w:sz="4"/>
              <w:bottom w:val="single" w:color="AAAAAA" w:sz="4"/>
              <w:right w:val="single" w:color="AAAAAA" w:sz="4"/>
            </w:tcBorders>
            <w:shd w:fill="F3F6FB"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+0.432</w:t>
            </w:r>
          </w:p>
        </w:tc>
        <w:tc>
          <w:tcPr>
            <w:tcW w:type="dxa" w:w="1500"/>
            <w:tcBorders>
              <w:top w:val="single" w:color="AAAAAA" w:sz="4"/>
              <w:left w:val="single" w:color="AAAAAA" w:sz="4"/>
              <w:bottom w:val="single" w:color="AAAAAA" w:sz="4"/>
              <w:right w:val="single" w:color="AAAAAA" w:sz="4"/>
            </w:tcBorders>
            <w:shd w:fill="F3F6FB"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+0.172</w:t>
            </w:r>
          </w:p>
        </w:tc>
        <w:tc>
          <w:tcPr>
            <w:tcW w:type="dxa" w:w="1300"/>
            <w:tcBorders>
              <w:top w:val="single" w:color="AAAAAA" w:sz="4"/>
              <w:left w:val="single" w:color="AAAAAA" w:sz="4"/>
              <w:bottom w:val="single" w:color="AAAAAA" w:sz="4"/>
              <w:right w:val="single" w:color="AAAAAA" w:sz="4"/>
            </w:tcBorders>
            <w:shd w:fill="F3F6FB"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0.396</w:t>
            </w:r>
          </w:p>
        </w:tc>
        <w:tc>
          <w:tcPr>
            <w:tcW w:type="dxa" w:w="2300"/>
            <w:tcBorders>
              <w:top w:val="single" w:color="AAAAAA" w:sz="4"/>
              <w:left w:val="single" w:color="AAAAAA" w:sz="4"/>
              <w:bottom w:val="single" w:color="AAAAAA" w:sz="4"/>
              <w:right w:val="single" w:color="AAAAAA" w:sz="4"/>
            </w:tcBorders>
            <w:shd w:fill="F3F6FB"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유의성 소멸</w:t>
            </w:r>
          </w:p>
        </w:tc>
      </w:tr>
      <w:tr>
        <w:tc>
          <w:tcPr>
            <w:tcW w:type="dxa" w:w="2472"/>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expanded_S</w:t>
            </w:r>
          </w:p>
        </w:tc>
        <w:tc>
          <w:tcPr>
            <w:tcW w:type="dxa" w:w="15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−0.695</w:t>
            </w:r>
          </w:p>
        </w:tc>
        <w:tc>
          <w:tcPr>
            <w:tcW w:type="dxa" w:w="15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−0.070</w:t>
            </w:r>
          </w:p>
        </w:tc>
        <w:tc>
          <w:tcPr>
            <w:tcW w:type="dxa" w:w="13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0.918</w:t>
            </w:r>
          </w:p>
        </w:tc>
        <w:tc>
          <w:tcPr>
            <w:tcW w:type="dxa" w:w="23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비유의</w:t>
            </w:r>
          </w:p>
        </w:tc>
      </w:tr>
      <w:tr>
        <w:tc>
          <w:tcPr>
            <w:tcW w:type="dxa" w:w="2472"/>
            <w:tcBorders>
              <w:top w:val="single" w:color="AAAAAA" w:sz="4"/>
              <w:left w:val="single" w:color="AAAAAA" w:sz="4"/>
              <w:bottom w:val="single" w:color="AAAAAA" w:sz="4"/>
              <w:right w:val="single" w:color="AAAAAA" w:sz="4"/>
            </w:tcBorders>
            <w:shd w:fill="F3F6FB"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log_n_tokens</w:t>
            </w:r>
          </w:p>
        </w:tc>
        <w:tc>
          <w:tcPr>
            <w:tcW w:type="dxa" w:w="1500"/>
            <w:tcBorders>
              <w:top w:val="single" w:color="AAAAAA" w:sz="4"/>
              <w:left w:val="single" w:color="AAAAAA" w:sz="4"/>
              <w:bottom w:val="single" w:color="AAAAAA" w:sz="4"/>
              <w:right w:val="single" w:color="AAAAAA" w:sz="4"/>
            </w:tcBorders>
            <w:shd w:fill="F3F6FB"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+1.297</w:t>
            </w:r>
          </w:p>
        </w:tc>
        <w:tc>
          <w:tcPr>
            <w:tcW w:type="dxa" w:w="1500"/>
            <w:tcBorders>
              <w:top w:val="single" w:color="AAAAAA" w:sz="4"/>
              <w:left w:val="single" w:color="AAAAAA" w:sz="4"/>
              <w:bottom w:val="single" w:color="AAAAAA" w:sz="4"/>
              <w:right w:val="single" w:color="AAAAAA" w:sz="4"/>
            </w:tcBorders>
            <w:shd w:fill="F3F6FB"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+0.718</w:t>
            </w:r>
          </w:p>
        </w:tc>
        <w:tc>
          <w:tcPr>
            <w:tcW w:type="dxa" w:w="1300"/>
            <w:tcBorders>
              <w:top w:val="single" w:color="AAAAAA" w:sz="4"/>
              <w:left w:val="single" w:color="AAAAAA" w:sz="4"/>
              <w:bottom w:val="single" w:color="AAAAAA" w:sz="4"/>
              <w:right w:val="single" w:color="AAAAAA" w:sz="4"/>
            </w:tcBorders>
            <w:shd w:fill="F3F6FB"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&lt;0.001</w:t>
            </w:r>
          </w:p>
        </w:tc>
        <w:tc>
          <w:tcPr>
            <w:tcW w:type="dxa" w:w="2300"/>
            <w:tcBorders>
              <w:top w:val="single" w:color="AAAAAA" w:sz="4"/>
              <w:left w:val="single" w:color="AAAAAA" w:sz="4"/>
              <w:bottom w:val="single" w:color="AAAAAA" w:sz="4"/>
              <w:right w:val="single" w:color="AAAAAA" w:sz="4"/>
            </w:tcBorders>
            <w:shd w:fill="F3F6FB"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절반↓이나 견고</w:t>
            </w:r>
          </w:p>
        </w:tc>
      </w:tr>
    </w:tbl>
    <w:p>
      <w:pPr>
        <w:spacing w:after="90" w:before="30"/>
      </w:pPr>
      <w:r>
        <w:rPr>
          <w:rFonts w:ascii="맑은 고딕" w:cs="맑은 고딕" w:eastAsia="맑은 고딕" w:hAnsi="맑은 고딕"/>
          <w:i/>
          <w:iCs/>
          <w:sz w:val="16"/>
          <w:szCs w:val="16"/>
        </w:rPr>
        <w:t xml:space="preserve">주: M2에 log_assets β=+0.262(p&lt;0.001), roa β=+2.503(p=0.005) 포함. R² 0.476→0.551.</w:t>
      </w:r>
    </w:p>
    <w:p>
      <w:pPr>
        <w:spacing w:after="120" w:before="0" w:line="384" w:lineRule="auto"/>
        <w:jc w:val="both"/>
      </w:pPr>
      <w:r>
        <w:rPr>
          <w:rFonts w:ascii="맑은 고딕" w:cs="맑은 고딕" w:eastAsia="맑은 고딕" w:hAnsi="맑은 고딕"/>
          <w:sz w:val="21"/>
          <w:szCs w:val="21"/>
        </w:rPr>
        <w:t xml:space="preserve">G는 규모·수익성·재무위험 통제 후에도 독립 신호를 유지하였다(β=1.955). 실제 분포로 환산하면 1 표준편차 증가가 약 0.26등급 상승에 해당해, 분량만 통제했을 때의 약 0.42등급에서 줄지만 여전히 유의하다. 반면 E는 재무 통제 후 유의성이 사라져 M1의 환경 신호 상당 부분이 기업 규모 교란이었음이 드러났고, S는 분량만 통제한 단계에서도 비유의여서 사업보고서만으로는 사회 차원 측정이 어려움을 확인하였다. 분량 자체는 재무 통제 후 절반으로 줄었지만 여전히 강하게 유의해, cheap-talk이 단순 규모 효과로 환원되지 않음을 보강한다.</w:t>
      </w:r>
    </w:p>
    <w:p>
      <w:pPr>
        <w:spacing w:after="80" w:before="150" w:line="384" w:lineRule="auto"/>
        <w:jc w:val="left"/>
      </w:pPr>
      <w:r>
        <w:rPr>
          <w:rFonts w:ascii="맑은 고딕" w:cs="맑은 고딕" w:eastAsia="맑은 고딕" w:hAnsi="맑은 고딕"/>
          <w:b/>
          <w:bCs/>
          <w:sz w:val="22"/>
          <w:szCs w:val="22"/>
        </w:rPr>
        <w:t xml:space="preserve">4.3 G 신호는 이사회 공시 섹션(VI)에 국소화된다</w:t>
      </w:r>
    </w:p>
    <w:p>
      <w:pPr>
        <w:spacing w:after="120" w:before="0" w:line="384" w:lineRule="auto"/>
        <w:jc w:val="both"/>
      </w:pPr>
      <w:r>
        <w:rPr>
          <w:rFonts w:ascii="맑은 고딕" w:cs="맑은 고딕" w:eastAsia="맑은 고딕" w:hAnsi="맑은 고딕"/>
          <w:sz w:val="21"/>
          <w:szCs w:val="21"/>
        </w:rPr>
        <w:t xml:space="preserve">남은 G 신호가 어느 섹션에서 오는지 추적하기 위해, 합본 텍스트를 II·IV·VI로 복원하고 섹션별 어휘 강도를 산출하였다. 섹션 점수와 해당 차원 등급의 Spearman ρ는 차원 신호가 자기 섹션에 모이는 패턴을 보인다.</w:t>
      </w:r>
    </w:p>
    <w:p>
      <w:pPr>
        <w:spacing w:after="0" w:before="80"/>
        <w:jc w:val="center"/>
      </w:pPr>
      <w:r>
        <w:drawing>
          <wp:inline distT="0" distB="0" distL="0" distR="0">
            <wp:extent cx="3095625" cy="2324100"/>
            <wp:effectExtent t="0" r="0" b="0" l="0"/>
            <wp:docPr id="1" name="섹션 국소화 히트맵" descr="섹션 국소화 히트맵" title="섹션 국소화 히트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095625" cy="2324100"/>
                    </a:xfrm>
                    <a:prstGeom prst="rect">
                      <a:avLst/>
                    </a:prstGeom>
                  </pic:spPr>
                </pic:pic>
              </a:graphicData>
            </a:graphic>
          </wp:inline>
        </w:drawing>
      </w:r>
    </w:p>
    <w:p>
      <w:pPr>
        <w:spacing w:after="70" w:before="50" w:line="280" w:lineRule="auto"/>
        <w:jc w:val="left"/>
      </w:pPr>
      <w:r>
        <w:rPr>
          <w:rFonts w:ascii="맑은 고딕" w:cs="맑은 고딕" w:eastAsia="맑은 고딕" w:hAnsi="맑은 고딕"/>
          <w:i/>
          <w:iCs/>
          <w:sz w:val="18"/>
          <w:szCs w:val="18"/>
        </w:rPr>
        <w:t xml:space="preserve">그림 5. 섹션별 어휘 강도와 차원 등급 간 Spearman ρ 히트맵. VI_G가 0.526으로 가장 진하며 전체 문서 기준 G 상관(0.426)을 넘어선다.</w:t>
      </w:r>
    </w:p>
    <w:p>
      <w:pPr>
        <w:spacing w:after="70" w:before="50" w:line="280" w:lineRule="auto"/>
        <w:jc w:val="left"/>
      </w:pPr>
      <w:r>
        <w:rPr>
          <w:rFonts w:ascii="맑은 고딕" w:cs="맑은 고딕" w:eastAsia="맑은 고딕" w:hAnsi="맑은 고딕"/>
          <w:i/>
          <w:iCs/>
          <w:sz w:val="18"/>
          <w:szCs w:val="18"/>
        </w:rPr>
        <w:t xml:space="preserve">표 4. 섹션 국소화 행렬. ⁿˢ=p≥0.05, 그 외 p&lt;0.05.</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72"/>
        <w:gridCol w:w="2000"/>
        <w:gridCol w:w="2000"/>
        <w:gridCol w:w="2000"/>
      </w:tblGrid>
      <w:tr>
        <w:trPr>
          <w:tblHeader/>
        </w:trPr>
        <w:tc>
          <w:tcPr>
            <w:tcW w:type="dxa" w:w="3072"/>
            <w:tcBorders>
              <w:top w:val="single" w:color="AAAAAA" w:sz="4"/>
              <w:left w:val="single" w:color="AAAAAA" w:sz="4"/>
              <w:bottom w:val="single" w:color="AAAAAA" w:sz="4"/>
              <w:right w:val="single" w:color="AAAAAA" w:sz="4"/>
            </w:tcBorders>
            <w:shd w:fill="D5E3F5" w:val="clear"/>
            <w:tcMar>
              <w:top w:type="dxa" w:w="60"/>
              <w:left w:type="dxa" w:w="100"/>
              <w:bottom w:type="dxa" w:w="60"/>
              <w:right w:type="dxa" w:w="100"/>
            </w:tcMar>
          </w:tcPr>
          <w:p>
            <w:pPr>
              <w:jc w:val="left"/>
            </w:pPr>
            <w:r>
              <w:rPr>
                <w:rFonts w:ascii="맑은 고딕" w:cs="맑은 고딕" w:eastAsia="맑은 고딕" w:hAnsi="맑은 고딕"/>
                <w:b/>
                <w:bCs/>
                <w:sz w:val="18"/>
                <w:szCs w:val="18"/>
              </w:rPr>
              <w:t xml:space="preserve">ρ(섹션, 차원 등급)</w:t>
            </w:r>
          </w:p>
        </w:tc>
        <w:tc>
          <w:tcPr>
            <w:tcW w:type="dxa" w:w="2000"/>
            <w:tcBorders>
              <w:top w:val="single" w:color="AAAAAA" w:sz="4"/>
              <w:left w:val="single" w:color="AAAAAA" w:sz="4"/>
              <w:bottom w:val="single" w:color="AAAAAA" w:sz="4"/>
              <w:right w:val="single" w:color="AAAAAA" w:sz="4"/>
            </w:tcBorders>
            <w:shd w:fill="D5E3F5" w:val="clear"/>
            <w:tcMar>
              <w:top w:type="dxa" w:w="60"/>
              <w:left w:type="dxa" w:w="100"/>
              <w:bottom w:type="dxa" w:w="60"/>
              <w:right w:type="dxa" w:w="100"/>
            </w:tcMar>
          </w:tcPr>
          <w:p>
            <w:pPr>
              <w:jc w:val="left"/>
            </w:pPr>
            <w:r>
              <w:rPr>
                <w:rFonts w:ascii="맑은 고딕" w:cs="맑은 고딕" w:eastAsia="맑은 고딕" w:hAnsi="맑은 고딕"/>
                <w:b/>
                <w:bCs/>
                <w:sz w:val="18"/>
                <w:szCs w:val="18"/>
              </w:rPr>
              <w:t xml:space="preserve">E</w:t>
            </w:r>
          </w:p>
        </w:tc>
        <w:tc>
          <w:tcPr>
            <w:tcW w:type="dxa" w:w="2000"/>
            <w:tcBorders>
              <w:top w:val="single" w:color="AAAAAA" w:sz="4"/>
              <w:left w:val="single" w:color="AAAAAA" w:sz="4"/>
              <w:bottom w:val="single" w:color="AAAAAA" w:sz="4"/>
              <w:right w:val="single" w:color="AAAAAA" w:sz="4"/>
            </w:tcBorders>
            <w:shd w:fill="D5E3F5" w:val="clear"/>
            <w:tcMar>
              <w:top w:type="dxa" w:w="60"/>
              <w:left w:type="dxa" w:w="100"/>
              <w:bottom w:type="dxa" w:w="60"/>
              <w:right w:type="dxa" w:w="100"/>
            </w:tcMar>
          </w:tcPr>
          <w:p>
            <w:pPr>
              <w:jc w:val="left"/>
            </w:pPr>
            <w:r>
              <w:rPr>
                <w:rFonts w:ascii="맑은 고딕" w:cs="맑은 고딕" w:eastAsia="맑은 고딕" w:hAnsi="맑은 고딕"/>
                <w:b/>
                <w:bCs/>
                <w:sz w:val="18"/>
                <w:szCs w:val="18"/>
              </w:rPr>
              <w:t xml:space="preserve">S</w:t>
            </w:r>
          </w:p>
        </w:tc>
        <w:tc>
          <w:tcPr>
            <w:tcW w:type="dxa" w:w="2000"/>
            <w:tcBorders>
              <w:top w:val="single" w:color="AAAAAA" w:sz="4"/>
              <w:left w:val="single" w:color="AAAAAA" w:sz="4"/>
              <w:bottom w:val="single" w:color="AAAAAA" w:sz="4"/>
              <w:right w:val="single" w:color="AAAAAA" w:sz="4"/>
            </w:tcBorders>
            <w:shd w:fill="D5E3F5" w:val="clear"/>
            <w:tcMar>
              <w:top w:type="dxa" w:w="60"/>
              <w:left w:type="dxa" w:w="100"/>
              <w:bottom w:type="dxa" w:w="60"/>
              <w:right w:type="dxa" w:w="100"/>
            </w:tcMar>
          </w:tcPr>
          <w:p>
            <w:pPr>
              <w:jc w:val="left"/>
            </w:pPr>
            <w:r>
              <w:rPr>
                <w:rFonts w:ascii="맑은 고딕" w:cs="맑은 고딕" w:eastAsia="맑은 고딕" w:hAnsi="맑은 고딕"/>
                <w:b/>
                <w:bCs/>
                <w:sz w:val="18"/>
                <w:szCs w:val="18"/>
              </w:rPr>
              <w:t xml:space="preserve">G</w:t>
            </w:r>
          </w:p>
        </w:tc>
      </w:tr>
      <w:tr>
        <w:tc>
          <w:tcPr>
            <w:tcW w:type="dxa" w:w="3072"/>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II (사업내용)</w:t>
            </w:r>
          </w:p>
        </w:tc>
        <w:tc>
          <w:tcPr>
            <w:tcW w:type="dxa" w:w="20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+0.378</w:t>
            </w:r>
          </w:p>
        </w:tc>
        <w:tc>
          <w:tcPr>
            <w:tcW w:type="dxa" w:w="20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+0.247</w:t>
            </w:r>
          </w:p>
        </w:tc>
        <w:tc>
          <w:tcPr>
            <w:tcW w:type="dxa" w:w="20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+0.282</w:t>
            </w:r>
          </w:p>
        </w:tc>
      </w:tr>
      <w:tr>
        <w:tc>
          <w:tcPr>
            <w:tcW w:type="dxa" w:w="3072"/>
            <w:tcBorders>
              <w:top w:val="single" w:color="AAAAAA" w:sz="4"/>
              <w:left w:val="single" w:color="AAAAAA" w:sz="4"/>
              <w:bottom w:val="single" w:color="AAAAAA" w:sz="4"/>
              <w:right w:val="single" w:color="AAAAAA" w:sz="4"/>
            </w:tcBorders>
            <w:shd w:fill="F3F6FB"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IV (경영진단)</w:t>
            </w:r>
          </w:p>
        </w:tc>
        <w:tc>
          <w:tcPr>
            <w:tcW w:type="dxa" w:w="2000"/>
            <w:tcBorders>
              <w:top w:val="single" w:color="AAAAAA" w:sz="4"/>
              <w:left w:val="single" w:color="AAAAAA" w:sz="4"/>
              <w:bottom w:val="single" w:color="AAAAAA" w:sz="4"/>
              <w:right w:val="single" w:color="AAAAAA" w:sz="4"/>
            </w:tcBorders>
            <w:shd w:fill="F3F6FB"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+0.341</w:t>
            </w:r>
          </w:p>
        </w:tc>
        <w:tc>
          <w:tcPr>
            <w:tcW w:type="dxa" w:w="2000"/>
            <w:tcBorders>
              <w:top w:val="single" w:color="AAAAAA" w:sz="4"/>
              <w:left w:val="single" w:color="AAAAAA" w:sz="4"/>
              <w:bottom w:val="single" w:color="AAAAAA" w:sz="4"/>
              <w:right w:val="single" w:color="AAAAAA" w:sz="4"/>
            </w:tcBorders>
            <w:shd w:fill="F3F6FB"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+0.033ⁿˢ</w:t>
            </w:r>
          </w:p>
        </w:tc>
        <w:tc>
          <w:tcPr>
            <w:tcW w:type="dxa" w:w="2000"/>
            <w:tcBorders>
              <w:top w:val="single" w:color="AAAAAA" w:sz="4"/>
              <w:left w:val="single" w:color="AAAAAA" w:sz="4"/>
              <w:bottom w:val="single" w:color="AAAAAA" w:sz="4"/>
              <w:right w:val="single" w:color="AAAAAA" w:sz="4"/>
            </w:tcBorders>
            <w:shd w:fill="F3F6FB"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+0.446</w:t>
            </w:r>
          </w:p>
        </w:tc>
      </w:tr>
      <w:tr>
        <w:tc>
          <w:tcPr>
            <w:tcW w:type="dxa" w:w="3072"/>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VI (기관)</w:t>
            </w:r>
          </w:p>
        </w:tc>
        <w:tc>
          <w:tcPr>
            <w:tcW w:type="dxa" w:w="20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+0.129</w:t>
            </w:r>
          </w:p>
        </w:tc>
        <w:tc>
          <w:tcPr>
            <w:tcW w:type="dxa" w:w="20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+0.315</w:t>
            </w:r>
          </w:p>
        </w:tc>
        <w:tc>
          <w:tcPr>
            <w:tcW w:type="dxa" w:w="20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+0.526 ★</w:t>
            </w:r>
          </w:p>
        </w:tc>
      </w:tr>
      <w:tr>
        <w:tc>
          <w:tcPr>
            <w:tcW w:type="dxa" w:w="3072"/>
            <w:tcBorders>
              <w:top w:val="single" w:color="AAAAAA" w:sz="4"/>
              <w:left w:val="single" w:color="AAAAAA" w:sz="4"/>
              <w:bottom w:val="single" w:color="AAAAAA" w:sz="4"/>
              <w:right w:val="single" w:color="AAAAAA" w:sz="4"/>
            </w:tcBorders>
            <w:shd w:fill="F3F6FB"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전체 문서</w:t>
            </w:r>
          </w:p>
        </w:tc>
        <w:tc>
          <w:tcPr>
            <w:tcW w:type="dxa" w:w="2000"/>
            <w:tcBorders>
              <w:top w:val="single" w:color="AAAAAA" w:sz="4"/>
              <w:left w:val="single" w:color="AAAAAA" w:sz="4"/>
              <w:bottom w:val="single" w:color="AAAAAA" w:sz="4"/>
              <w:right w:val="single" w:color="AAAAAA" w:sz="4"/>
            </w:tcBorders>
            <w:shd w:fill="F3F6FB"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0.451</w:t>
            </w:r>
          </w:p>
        </w:tc>
        <w:tc>
          <w:tcPr>
            <w:tcW w:type="dxa" w:w="2000"/>
            <w:tcBorders>
              <w:top w:val="single" w:color="AAAAAA" w:sz="4"/>
              <w:left w:val="single" w:color="AAAAAA" w:sz="4"/>
              <w:bottom w:val="single" w:color="AAAAAA" w:sz="4"/>
              <w:right w:val="single" w:color="AAAAAA" w:sz="4"/>
            </w:tcBorders>
            <w:shd w:fill="F3F6FB"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0.230</w:t>
            </w:r>
          </w:p>
        </w:tc>
        <w:tc>
          <w:tcPr>
            <w:tcW w:type="dxa" w:w="2000"/>
            <w:tcBorders>
              <w:top w:val="single" w:color="AAAAAA" w:sz="4"/>
              <w:left w:val="single" w:color="AAAAAA" w:sz="4"/>
              <w:bottom w:val="single" w:color="AAAAAA" w:sz="4"/>
              <w:right w:val="single" w:color="AAAAAA" w:sz="4"/>
            </w:tcBorders>
            <w:shd w:fill="F3F6FB"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0.426</w:t>
            </w:r>
          </w:p>
        </w:tc>
      </w:tr>
    </w:tbl>
    <w:p>
      <w:pPr>
        <w:spacing w:after="120" w:before="0" w:line="384" w:lineRule="auto"/>
        <w:jc w:val="both"/>
      </w:pPr>
      <w:r>
        <w:rPr>
          <w:rFonts w:ascii="맑은 고딕" w:cs="맑은 고딕" w:eastAsia="맑은 고딕" w:hAnsi="맑은 고딕"/>
          <w:sz w:val="21"/>
          <w:szCs w:val="21"/>
        </w:rPr>
        <w:t xml:space="preserve">VI_G의 0.526이 전체 문서 0.426을 넘는다는 것은 지배구조를 그것이 공시되는 섹션에서 잴 때 신호가 더 선명해진다는 뜻이다. 이 효과가 단지 VI가 짧아 어휘 밀도가 높아진 결과일 가능성을 배제하기 위해 섹션 글자 수와 전체 분량을 함께 통제하자, VI_G(β=1.738)·IV_G(β=1.969)는 유의했으나 II_G(β=0.464, p=0.320)는 길이에 흡수되었다. 환경은 반대로 II_E(β=0.592)가 실질이고 IV_E는 흡수되었다. 거버넌스의 실질 서술은 기관·경영진단에 있고 사업내용의 거버넌스 언급은 보일러플레이트인 반면, 환경은 구조화된 사업내용이 실질인 것이다. 업종·연도 고정효과를 더해도 VI_G(β=1.755)·IV_G(β=2.079)·II_E는 견고했고, 특히 II_E는 0.592에서 0.723으로 강화되어 섹터 교란 통제 후에도 환경 신호가 남았다.</w:t>
      </w:r>
    </w:p>
    <w:p>
      <w:pPr>
        <w:spacing w:after="120" w:before="0" w:line="384" w:lineRule="auto"/>
        <w:jc w:val="both"/>
      </w:pPr>
      <w:r>
        <w:rPr>
          <w:rFonts w:ascii="맑은 고딕" w:cs="맑은 고딕" w:eastAsia="맑은 고딕" w:hAnsi="맑은 고딕"/>
          <w:sz w:val="21"/>
          <w:szCs w:val="21"/>
        </w:rPr>
        <w:t xml:space="preserve">이 국소화가 확장 사전 매칭의 산물이 아닌지 확인하기 위해, 사전 없이 의미 임베딩으로 섹션 문장을 E/S/G/무관에 최근접 분류하였다.</w:t>
      </w:r>
    </w:p>
    <w:p>
      <w:pPr>
        <w:spacing w:after="0" w:before="80"/>
        <w:jc w:val="center"/>
      </w:pPr>
      <w:r>
        <w:drawing>
          <wp:inline distT="0" distB="0" distL="0" distR="0">
            <wp:extent cx="3810000" cy="2171700"/>
            <wp:effectExtent t="0" r="0" b="0" l="0"/>
            <wp:docPr id="1" name="의미 임베딩 섹션 분류" descr="의미 임베딩 섹션 분류" title="의미 임베딩 섹션 분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2171700"/>
                    </a:xfrm>
                    <a:prstGeom prst="rect">
                      <a:avLst/>
                    </a:prstGeom>
                  </pic:spPr>
                </pic:pic>
              </a:graphicData>
            </a:graphic>
          </wp:inline>
        </w:drawing>
      </w:r>
    </w:p>
    <w:p>
      <w:pPr>
        <w:spacing w:after="70" w:before="50" w:line="280" w:lineRule="auto"/>
        <w:jc w:val="left"/>
      </w:pPr>
      <w:r>
        <w:rPr>
          <w:rFonts w:ascii="맑은 고딕" w:cs="맑은 고딕" w:eastAsia="맑은 고딕" w:hAnsi="맑은 고딕"/>
          <w:i/>
          <w:iCs/>
          <w:sz w:val="18"/>
          <w:szCs w:val="18"/>
        </w:rPr>
        <w:t xml:space="preserve">그림 6. 의미 임베딩 기반 섹션별 E/S/G 문장 비율(60 firm-year 층화표본). VI 섹션 문장의 97.9%가 G로 분류된다.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72"/>
        <w:gridCol w:w="2000"/>
        <w:gridCol w:w="2000"/>
        <w:gridCol w:w="2000"/>
      </w:tblGrid>
      <w:tr>
        <w:trPr>
          <w:tblHeader/>
        </w:trPr>
        <w:tc>
          <w:tcPr>
            <w:tcW w:type="dxa" w:w="3072"/>
            <w:tcBorders>
              <w:top w:val="single" w:color="AAAAAA" w:sz="4"/>
              <w:left w:val="single" w:color="AAAAAA" w:sz="4"/>
              <w:bottom w:val="single" w:color="AAAAAA" w:sz="4"/>
              <w:right w:val="single" w:color="AAAAAA" w:sz="4"/>
            </w:tcBorders>
            <w:shd w:fill="D5E3F5" w:val="clear"/>
            <w:tcMar>
              <w:top w:type="dxa" w:w="60"/>
              <w:left w:type="dxa" w:w="100"/>
              <w:bottom w:type="dxa" w:w="60"/>
              <w:right w:type="dxa" w:w="100"/>
            </w:tcMar>
          </w:tcPr>
          <w:p>
            <w:pPr>
              <w:jc w:val="left"/>
            </w:pPr>
            <w:r>
              <w:rPr>
                <w:rFonts w:ascii="맑은 고딕" w:cs="맑은 고딕" w:eastAsia="맑은 고딕" w:hAnsi="맑은 고딕"/>
                <w:b/>
                <w:bCs/>
                <w:sz w:val="18"/>
                <w:szCs w:val="18"/>
              </w:rPr>
              <w:t xml:space="preserve">섹션</w:t>
            </w:r>
          </w:p>
        </w:tc>
        <w:tc>
          <w:tcPr>
            <w:tcW w:type="dxa" w:w="2000"/>
            <w:tcBorders>
              <w:top w:val="single" w:color="AAAAAA" w:sz="4"/>
              <w:left w:val="single" w:color="AAAAAA" w:sz="4"/>
              <w:bottom w:val="single" w:color="AAAAAA" w:sz="4"/>
              <w:right w:val="single" w:color="AAAAAA" w:sz="4"/>
            </w:tcBorders>
            <w:shd w:fill="D5E3F5" w:val="clear"/>
            <w:tcMar>
              <w:top w:type="dxa" w:w="60"/>
              <w:left w:type="dxa" w:w="100"/>
              <w:bottom w:type="dxa" w:w="60"/>
              <w:right w:type="dxa" w:w="100"/>
            </w:tcMar>
          </w:tcPr>
          <w:p>
            <w:pPr>
              <w:jc w:val="left"/>
            </w:pPr>
            <w:r>
              <w:rPr>
                <w:rFonts w:ascii="맑은 고딕" w:cs="맑은 고딕" w:eastAsia="맑은 고딕" w:hAnsi="맑은 고딕"/>
                <w:b/>
                <w:bCs/>
                <w:sz w:val="18"/>
                <w:szCs w:val="18"/>
              </w:rPr>
              <w:t xml:space="preserve">E 비율</w:t>
            </w:r>
          </w:p>
        </w:tc>
        <w:tc>
          <w:tcPr>
            <w:tcW w:type="dxa" w:w="2000"/>
            <w:tcBorders>
              <w:top w:val="single" w:color="AAAAAA" w:sz="4"/>
              <w:left w:val="single" w:color="AAAAAA" w:sz="4"/>
              <w:bottom w:val="single" w:color="AAAAAA" w:sz="4"/>
              <w:right w:val="single" w:color="AAAAAA" w:sz="4"/>
            </w:tcBorders>
            <w:shd w:fill="D5E3F5" w:val="clear"/>
            <w:tcMar>
              <w:top w:type="dxa" w:w="60"/>
              <w:left w:type="dxa" w:w="100"/>
              <w:bottom w:type="dxa" w:w="60"/>
              <w:right w:type="dxa" w:w="100"/>
            </w:tcMar>
          </w:tcPr>
          <w:p>
            <w:pPr>
              <w:jc w:val="left"/>
            </w:pPr>
            <w:r>
              <w:rPr>
                <w:rFonts w:ascii="맑은 고딕" w:cs="맑은 고딕" w:eastAsia="맑은 고딕" w:hAnsi="맑은 고딕"/>
                <w:b/>
                <w:bCs/>
                <w:sz w:val="18"/>
                <w:szCs w:val="18"/>
              </w:rPr>
              <w:t xml:space="preserve">S 비율</w:t>
            </w:r>
          </w:p>
        </w:tc>
        <w:tc>
          <w:tcPr>
            <w:tcW w:type="dxa" w:w="2000"/>
            <w:tcBorders>
              <w:top w:val="single" w:color="AAAAAA" w:sz="4"/>
              <w:left w:val="single" w:color="AAAAAA" w:sz="4"/>
              <w:bottom w:val="single" w:color="AAAAAA" w:sz="4"/>
              <w:right w:val="single" w:color="AAAAAA" w:sz="4"/>
            </w:tcBorders>
            <w:shd w:fill="D5E3F5" w:val="clear"/>
            <w:tcMar>
              <w:top w:type="dxa" w:w="60"/>
              <w:left w:type="dxa" w:w="100"/>
              <w:bottom w:type="dxa" w:w="60"/>
              <w:right w:type="dxa" w:w="100"/>
            </w:tcMar>
          </w:tcPr>
          <w:p>
            <w:pPr>
              <w:jc w:val="left"/>
            </w:pPr>
            <w:r>
              <w:rPr>
                <w:rFonts w:ascii="맑은 고딕" w:cs="맑은 고딕" w:eastAsia="맑은 고딕" w:hAnsi="맑은 고딕"/>
                <w:b/>
                <w:bCs/>
                <w:sz w:val="18"/>
                <w:szCs w:val="18"/>
              </w:rPr>
              <w:t xml:space="preserve">G 비율</w:t>
            </w:r>
          </w:p>
        </w:tc>
      </w:tr>
      <w:tr>
        <w:tc>
          <w:tcPr>
            <w:tcW w:type="dxa" w:w="3072"/>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II (사업내용)</w:t>
            </w:r>
          </w:p>
        </w:tc>
        <w:tc>
          <w:tcPr>
            <w:tcW w:type="dxa" w:w="20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0.060</w:t>
            </w:r>
          </w:p>
        </w:tc>
        <w:tc>
          <w:tcPr>
            <w:tcW w:type="dxa" w:w="20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0.047</w:t>
            </w:r>
          </w:p>
        </w:tc>
        <w:tc>
          <w:tcPr>
            <w:tcW w:type="dxa" w:w="20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0.106</w:t>
            </w:r>
          </w:p>
        </w:tc>
      </w:tr>
      <w:tr>
        <w:tc>
          <w:tcPr>
            <w:tcW w:type="dxa" w:w="3072"/>
            <w:tcBorders>
              <w:top w:val="single" w:color="AAAAAA" w:sz="4"/>
              <w:left w:val="single" w:color="AAAAAA" w:sz="4"/>
              <w:bottom w:val="single" w:color="AAAAAA" w:sz="4"/>
              <w:right w:val="single" w:color="AAAAAA" w:sz="4"/>
            </w:tcBorders>
            <w:shd w:fill="F3F6FB"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IV (경영진단)</w:t>
            </w:r>
          </w:p>
        </w:tc>
        <w:tc>
          <w:tcPr>
            <w:tcW w:type="dxa" w:w="2000"/>
            <w:tcBorders>
              <w:top w:val="single" w:color="AAAAAA" w:sz="4"/>
              <w:left w:val="single" w:color="AAAAAA" w:sz="4"/>
              <w:bottom w:val="single" w:color="AAAAAA" w:sz="4"/>
              <w:right w:val="single" w:color="AAAAAA" w:sz="4"/>
            </w:tcBorders>
            <w:shd w:fill="F3F6FB"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0.046</w:t>
            </w:r>
          </w:p>
        </w:tc>
        <w:tc>
          <w:tcPr>
            <w:tcW w:type="dxa" w:w="2000"/>
            <w:tcBorders>
              <w:top w:val="single" w:color="AAAAAA" w:sz="4"/>
              <w:left w:val="single" w:color="AAAAAA" w:sz="4"/>
              <w:bottom w:val="single" w:color="AAAAAA" w:sz="4"/>
              <w:right w:val="single" w:color="AAAAAA" w:sz="4"/>
            </w:tcBorders>
            <w:shd w:fill="F3F6FB"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0.015</w:t>
            </w:r>
          </w:p>
        </w:tc>
        <w:tc>
          <w:tcPr>
            <w:tcW w:type="dxa" w:w="2000"/>
            <w:tcBorders>
              <w:top w:val="single" w:color="AAAAAA" w:sz="4"/>
              <w:left w:val="single" w:color="AAAAAA" w:sz="4"/>
              <w:bottom w:val="single" w:color="AAAAAA" w:sz="4"/>
              <w:right w:val="single" w:color="AAAAAA" w:sz="4"/>
            </w:tcBorders>
            <w:shd w:fill="F3F6FB"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0.119</w:t>
            </w:r>
          </w:p>
        </w:tc>
      </w:tr>
      <w:tr>
        <w:tc>
          <w:tcPr>
            <w:tcW w:type="dxa" w:w="3072"/>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VI (기관)</w:t>
            </w:r>
          </w:p>
        </w:tc>
        <w:tc>
          <w:tcPr>
            <w:tcW w:type="dxa" w:w="20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0.001</w:t>
            </w:r>
          </w:p>
        </w:tc>
        <w:tc>
          <w:tcPr>
            <w:tcW w:type="dxa" w:w="20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0.008</w:t>
            </w:r>
          </w:p>
        </w:tc>
        <w:tc>
          <w:tcPr>
            <w:tcW w:type="dxa" w:w="20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0.979 ★</w:t>
            </w:r>
          </w:p>
        </w:tc>
      </w:tr>
    </w:tbl>
    <w:p>
      <w:pPr>
        <w:spacing w:after="70" w:before="50" w:line="280" w:lineRule="auto"/>
        <w:jc w:val="left"/>
      </w:pPr>
      <w:r>
        <w:rPr>
          <w:rFonts w:ascii="맑은 고딕" w:cs="맑은 고딕" w:eastAsia="맑은 고딕" w:hAnsi="맑은 고딕"/>
          <w:i/>
          <w:iCs/>
          <w:sz w:val="18"/>
          <w:szCs w:val="18"/>
        </w:rPr>
        <w:t xml:space="preserve">표 5. 의미 임베딩 최근접 분류 기반 섹션별 E/S/G 문장 비율.</w:t>
      </w:r>
    </w:p>
    <w:p>
      <w:pPr>
        <w:spacing w:after="120" w:before="0" w:line="384" w:lineRule="auto"/>
        <w:jc w:val="both"/>
      </w:pPr>
      <w:r>
        <w:rPr>
          <w:rFonts w:ascii="맑은 고딕" w:cs="맑은 고딕" w:eastAsia="맑은 고딕" w:hAnsi="맑은 고딕"/>
          <w:sz w:val="21"/>
          <w:szCs w:val="21"/>
        </w:rPr>
        <w:t xml:space="preserve">측정 방식을 의미 임베딩으로 바꿔도 G의 VI 집중이 그대로 나타났다. 다만 이 분류는 기준 문장 설계에 민감하고 층화표본에 기반하므로 본선을 대체하지 않는 방향성 교차검증으로만 해석한다.</w:t>
      </w:r>
    </w:p>
    <w:p>
      <w:pPr>
        <w:spacing w:after="100" w:before="220" w:line="384" w:lineRule="auto"/>
        <w:jc w:val="left"/>
      </w:pPr>
      <w:r>
        <w:rPr>
          <w:rFonts w:ascii="맑은 고딕" w:cs="맑은 고딕" w:eastAsia="맑은 고딕" w:hAnsi="맑은 고딕"/>
          <w:b/>
          <w:bCs/>
          <w:sz w:val="25"/>
          <w:szCs w:val="25"/>
        </w:rPr>
        <w:t xml:space="preserve">5. Discussion</w:t>
      </w:r>
    </w:p>
    <w:p>
      <w:pPr>
        <w:spacing w:after="120" w:before="0" w:line="384" w:lineRule="auto"/>
        <w:jc w:val="both"/>
      </w:pPr>
      <w:r>
        <w:rPr>
          <w:rFonts w:ascii="맑은 고딕" w:cs="맑은 고딕" w:eastAsia="맑은 고딕" w:hAnsi="맑은 고딕"/>
          <w:sz w:val="21"/>
          <w:szCs w:val="21"/>
        </w:rPr>
        <w:t xml:space="preserve">본 분석에서 가장 분명한 사실은 공시 분량의 지배력이다. 그러나 "분량이 지배적이다"에서 멈추면 그 아래 층위를 놓친다. 분량과 재무를 통제한 뒤에도 G 어휘, 특히 VI 섹션의 G 어휘에는 독립 신호가 남기 때문이다. 이 신호가 실제 거버넌스 품질을 반영하는지까지는 식별할 수 없으나, VI는 이사회·감사위원회·내부통제처럼 법적으로 의무화된 공시 영역이라는 점이 주목할 만하다. 의무공시 틀이 정보 생산 기능을 한다면, VI의 구체적 거버넌스 서술은 단순히 보고서를 늘리는 것과 달리 측정 가능한 성과 차이와 연결될 여지가 있다. 반대로 규모 통제 후 사라진 E 신호는 환경 서술이 주로 기업 규모를 경유함을, S의 비유의는 사회 차원이 사업보고서만으로는 안정적으로 측정되지 않음을 시사한다.</w:t>
      </w:r>
    </w:p>
    <w:p>
      <w:pPr>
        <w:spacing w:after="120" w:before="0" w:line="384" w:lineRule="auto"/>
        <w:jc w:val="both"/>
      </w:pPr>
      <w:r>
        <w:rPr>
          <w:rFonts w:ascii="맑은 고딕" w:cs="맑은 고딕" w:eastAsia="맑은 고딕" w:hAnsi="맑은 고딕"/>
          <w:sz w:val="21"/>
          <w:szCs w:val="21"/>
        </w:rPr>
        <w:t xml:space="preserve">이는 ESG 공시를 정보로 활용하는 입장에서 두 함의를 갖는다. 첫째, 사업보고서 ESG 어휘량을 그대로 성과 대리지표로 쓰는 것은 위험하다. 가장 강한 신호가 어휘의 질이 아니라 분량이라는 사실은, 공시 텍스트를 신호로 삼을 때 disclosure verbosity를 반드시 분리해야 함을 보여주며, 이는 Berg et al.(2022)이 지적한 측정 의존성과 같은 맥락이다. 둘째, 그럼에도 측정을 정교화하면 의미 있는 신호를 분리할 수 있다. 거버넌스 신호가 의무공시 보편어가 아니라 실천 어휘에서, 전체 문서가 아니라 해당 섹션에서 더 선명해진다는 발견은 공시 텍스트 분석이 외부 평가를 보완하는 독립 정보를 제공할 수 있음을 시사한다.</w:t>
      </w:r>
    </w:p>
    <w:p>
      <w:pPr>
        <w:spacing w:after="120" w:before="0" w:line="384" w:lineRule="auto"/>
        <w:jc w:val="both"/>
      </w:pPr>
      <w:r>
        <w:rPr>
          <w:rFonts w:ascii="맑은 고딕" w:cs="맑은 고딕" w:eastAsia="맑은 고딕" w:hAnsi="맑은 고딕"/>
          <w:sz w:val="21"/>
          <w:szCs w:val="21"/>
        </w:rPr>
        <w:t xml:space="preserve">해석에는 제약이 있다. 표본 381 firm-year는 수업용 pilot이라 전체 상장기업을 대표하지 않으며, KCGS 단일 등급만 사용해 결론이 평가기관 선택에 민감할 수 있다. 텍스트 원천을 사업보고서로 한정해 지속가능경영보고서는 빠졌고, S 등급은 A+에 112건이 몰려 분산이 작다. 무엇보다 모든 결과는 연관 관찰이며 인과가 아니다. ESG 어휘를 늘리면 등급이 오른다거나 G 어휘가 풍부하면 지배구조가 우수하다는 식의 주장은 본 분석으로 도출할 수 없다.</w:t>
      </w:r>
    </w:p>
    <w:p>
      <w:pPr>
        <w:spacing w:after="100" w:before="220" w:line="384" w:lineRule="auto"/>
        <w:jc w:val="left"/>
      </w:pPr>
      <w:r>
        <w:rPr>
          <w:rFonts w:ascii="맑은 고딕" w:cs="맑은 고딕" w:eastAsia="맑은 고딕" w:hAnsi="맑은 고딕"/>
          <w:b/>
          <w:bCs/>
          <w:sz w:val="25"/>
          <w:szCs w:val="25"/>
        </w:rPr>
        <w:t xml:space="preserve">6. Conclusion</w:t>
      </w:r>
    </w:p>
    <w:p>
      <w:pPr>
        <w:spacing w:after="120" w:before="0" w:line="384" w:lineRule="auto"/>
        <w:jc w:val="both"/>
      </w:pPr>
      <w:r>
        <w:rPr>
          <w:rFonts w:ascii="맑은 고딕" w:cs="맑은 고딕" w:eastAsia="맑은 고딕" w:hAnsi="맑은 고딕"/>
          <w:sz w:val="21"/>
          <w:szCs w:val="21"/>
        </w:rPr>
        <w:t xml:space="preserve">사업보고서 ESG 어휘 강도와 KCGS 등급 사이에는 통계적 연관이 있으나, 가장 강한 요인은 ESG 어휘가 아니라 공시 분량이었다. 분량과 기업 규모를 통제하면 차원별 신호가 갈려 G는 독립 신호로 남고 E는 규모 교란으로 약해지며 S는 비유의에 머물렀으며, 남은 G 신호는 이사회 공시 섹션(VI)에 국소화되어 그곳에서 측정할 때 가장 선명했다. 요컨대 공시 텍스트라는 단일 자료 안에서도 측정의 차원과 섹션을 달리하면 cheap-talk과 실질 신호를 부분적으로 분리할 수 있으나, 보고서가 길고 그럴듯하다는 이유로 ESG 성과가 높다고 단정해서는 안 된다. 지속가능경영보고서나 복수 평가기관 등급을 결합하면 공시 언어와 실제 성과의 괴리를 더 정밀하게 추적할 수 있다.</w:t>
      </w:r>
    </w:p>
    <w:p>
      <w:pPr>
        <w:pageBreakBefore/>
        <w:spacing w:after="100" w:before="220" w:line="384" w:lineRule="auto"/>
        <w:jc w:val="left"/>
      </w:pPr>
      <w:r>
        <w:rPr>
          <w:rFonts w:ascii="맑은 고딕" w:cs="맑은 고딕" w:eastAsia="맑은 고딕" w:hAnsi="맑은 고딕"/>
          <w:b/>
          <w:bCs/>
          <w:sz w:val="25"/>
          <w:szCs w:val="25"/>
        </w:rPr>
        <w:t xml:space="preserve">References</w:t>
      </w:r>
    </w:p>
    <w:p>
      <w:pPr>
        <w:spacing w:after="90" w:before="0" w:line="384" w:lineRule="auto"/>
        <w:ind w:left="360" w:hanging="360"/>
        <w:jc w:val="both"/>
      </w:pPr>
      <w:r>
        <w:rPr>
          <w:rFonts w:ascii="맑은 고딕" w:cs="맑은 고딕" w:eastAsia="맑은 고딕" w:hAnsi="맑은 고딕"/>
          <w:sz w:val="20"/>
          <w:szCs w:val="20"/>
        </w:rPr>
        <w:t xml:space="preserve">Berg, F., Koelbel, J. F., &amp; Rigobon, R. (2022). Aggregate confusion: The divergence of ESG ratings. Review of Finance, 26(6), 1315–1344. https://doi.org/10.1093/rof/rfac033</w:t>
      </w:r>
    </w:p>
    <w:p>
      <w:pPr>
        <w:spacing w:after="90" w:before="0" w:line="384" w:lineRule="auto"/>
        <w:ind w:left="360" w:hanging="360"/>
        <w:jc w:val="both"/>
      </w:pPr>
      <w:r>
        <w:rPr>
          <w:rFonts w:ascii="맑은 고딕" w:cs="맑은 고딕" w:eastAsia="맑은 고딕" w:hAnsi="맑은 고딕"/>
          <w:sz w:val="20"/>
          <w:szCs w:val="20"/>
        </w:rPr>
        <w:t xml:space="preserve">금융감독원. (n.d.). OpenDART API 개발가이드. 전자공시시스템. https://opendart.fss.or.kr</w:t>
      </w:r>
    </w:p>
    <w:p>
      <w:pPr>
        <w:spacing w:after="90" w:before="0" w:line="384" w:lineRule="auto"/>
        <w:ind w:left="360" w:hanging="360"/>
        <w:jc w:val="both"/>
      </w:pPr>
      <w:r>
        <w:rPr>
          <w:rFonts w:ascii="맑은 고딕" w:cs="맑은 고딕" w:eastAsia="맑은 고딕" w:hAnsi="맑은 고딕"/>
          <w:sz w:val="20"/>
          <w:szCs w:val="20"/>
        </w:rPr>
        <w:t xml:space="preserve">한국ESG기준원. (n.d.). ESG 평가 등급 안내. https://www.cgs.or.kr</w:t>
      </w:r>
    </w:p>
    <w:p>
      <w:pPr>
        <w:spacing w:after="90" w:before="0" w:line="384" w:lineRule="auto"/>
        <w:ind w:left="360" w:hanging="360"/>
        <w:jc w:val="both"/>
      </w:pPr>
      <w:r>
        <w:rPr>
          <w:rFonts w:ascii="맑은 고딕" w:cs="맑은 고딕" w:eastAsia="맑은 고딕" w:hAnsi="맑은 고딕"/>
          <w:sz w:val="20"/>
          <w:szCs w:val="20"/>
        </w:rPr>
        <w:t xml:space="preserve">Loughran, T., &amp; McDonald, B. (2011). When is a liability not a liability? Textual analysis, dictionaries, and 10-Ks. The Journal of Finance, 66(1), 35–65. https://doi.org/10.1111/j.1540-6261.2010.01625.x</w:t>
      </w:r>
    </w:p>
    <w:p>
      <w:pPr>
        <w:spacing w:after="90" w:before="0" w:line="384" w:lineRule="auto"/>
        <w:ind w:left="360" w:hanging="360"/>
        <w:jc w:val="both"/>
      </w:pPr>
      <w:r>
        <w:rPr>
          <w:rFonts w:ascii="맑은 고딕" w:cs="맑은 고딕" w:eastAsia="맑은 고딕" w:hAnsi="맑은 고딕"/>
          <w:sz w:val="20"/>
          <w:szCs w:val="20"/>
        </w:rPr>
        <w:t xml:space="preserve">Park, B. (2024). Kiwipiepy: A morphological analyzer for Korean. https://github.com/bab2min/Kiwi</w:t>
      </w:r>
    </w:p>
    <w:p>
      <w:pPr>
        <w:spacing w:after="90" w:before="0" w:line="384" w:lineRule="auto"/>
        <w:ind w:left="360" w:hanging="360"/>
        <w:jc w:val="both"/>
      </w:pPr>
      <w:r>
        <w:rPr>
          <w:rFonts w:ascii="맑은 고딕" w:cs="맑은 고딕" w:eastAsia="맑은 고딕" w:hAnsi="맑은 고딕"/>
          <w:sz w:val="20"/>
          <w:szCs w:val="20"/>
        </w:rPr>
        <w:t xml:space="preserve">Pedregosa, F., et al. (2011). Scikit-learn: Machine learning in Python. Journal of Machine Learning Research, 12, 2825–2830.</w:t>
      </w:r>
    </w:p>
    <w:p>
      <w:pPr>
        <w:spacing w:after="90" w:before="0" w:line="384" w:lineRule="auto"/>
        <w:ind w:left="360" w:hanging="360"/>
        <w:jc w:val="both"/>
      </w:pPr>
      <w:r>
        <w:rPr>
          <w:rFonts w:ascii="맑은 고딕" w:cs="맑은 고딕" w:eastAsia="맑은 고딕" w:hAnsi="맑은 고딕"/>
          <w:sz w:val="20"/>
          <w:szCs w:val="20"/>
        </w:rPr>
        <w:t xml:space="preserve">Řehůřek, R., &amp; Sojka, P. (2010). Software framework for topic modelling with large corpora. In Proceedings of LREC 2010 Workshop on New Challenges for NLP Frameworks (pp. 45–50).</w:t>
      </w:r>
    </w:p>
    <w:sectPr>
      <w:footerReference w:type="default" r:id="rId7"/>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dfd129ee3ff6730fa1da681a110dc2868b91585.png"/><Relationship Id="rId9" Type="http://schemas.openxmlformats.org/officeDocument/2006/relationships/image" Target="media/9b57b4af43926f2e4a4803a7ecb51a964cdabc38.png"/><Relationship Id="rId10" Type="http://schemas.openxmlformats.org/officeDocument/2006/relationships/image" Target="media/7b9ae2b53fa30a33fffde7749b4781411908c1a4.png"/><Relationship Id="rId11" Type="http://schemas.openxmlformats.org/officeDocument/2006/relationships/image" Target="media/89c06ad98c1ad118bb6ca76d4596ba01146632ee.png"/><Relationship Id="rId12" Type="http://schemas.openxmlformats.org/officeDocument/2006/relationships/image" Target="media/9729ec6bcbb2eccefbfa0b52cc198b38f921d972.png"/><Relationship Id="rId13" Type="http://schemas.openxmlformats.org/officeDocument/2006/relationships/image" Target="media/22db96c09482cadec20266afc59a1ff039885f19.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2026-06-02T01:46:13.461Z</dcterms:created>
  <dcterms:modified xsi:type="dcterms:W3CDTF">2026-06-02T01:46:13.462Z</dcterms:modified>
</cp:coreProperties>
</file>

<file path=docProps/custom.xml><?xml version="1.0" encoding="utf-8"?>
<Properties xmlns="http://schemas.openxmlformats.org/officeDocument/2006/custom-properties" xmlns:vt="http://schemas.openxmlformats.org/officeDocument/2006/docPropsVTypes"/>
</file>