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04c — Cartão CNPJ (checklist de conferência)</w:t>
      </w:r>
    </w:p>
    <w:p>
      <w:r>
        <w:t xml:space="preserve">Cartão recebido em 01/09/2026. Antes de anexar, conferir os pontos abaixo, porque as cartas justificativas declaram sede em </w:t>
      </w:r>
      <w:r>
        <w:rPr>
          <w:b/>
        </w:rPr>
        <w:t>Salvador-BA</w:t>
      </w:r>
      <w:r>
        <w:t xml:space="preserve"> e a inscrição estadual ainda é de </w:t>
      </w:r>
      <w:r>
        <w:rPr>
          <w:b/>
        </w:rPr>
        <w:t>Minas Gerais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Valor esperado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Conferir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CNPJ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64.947.469/0001-15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Razão social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Factiun Sun BR Ltda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Situação cadastral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ATIVA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Endereço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Rua dos Franciscanos, Galpão 8, Loteamento Dom Avelar, Pirajá, Salvador-BA, CEP 41.315-000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 ] Se ainda constar Belo Horizonte, emitir cartão novo em receita.fazenda.gov.br após a RFB processar a 2ª alteração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Data de emissão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Posterior à 2ª alteração (10/08/2026)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 ]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Formato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PDF </w:t>
            </w:r>
            <w:r>
              <w:rPr>
                <w:b/>
                <w:sz w:val="18"/>
              </w:rPr>
              <w:t>nato-digital</w:t>
            </w:r>
            <w:r>
              <w:rPr>
                <w:sz w:val="18"/>
              </w:rPr>
              <w:t xml:space="preserve"> gerado no site da RFB (o arquivo recebido é imagem; regerar)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 ]</w:t>
            </w:r>
          </w:p>
        </w:tc>
      </w:tr>
    </w:tbl>
    <w:p/>
    <w:p>
      <w:pPr>
        <w:pStyle w:val="Heading2"/>
      </w:pPr>
      <w:r>
        <w:rPr>
          <w:color w:val="0E4F63"/>
        </w:rPr>
        <w:t>Observações</w:t>
      </w:r>
    </w:p>
    <w:p>
      <w:pPr>
        <w:pStyle w:val="ListBullet"/>
        <w:ind w:left="340"/>
      </w:pPr>
      <w:r>
        <w:t>A inscrição estadual de MG não impede o protocolo do Ex, mas a divergência entre IE (MG) e sede (BA) pode gerar pergunta na análise. Se houver IE da Bahia, mencionar no formulário; se não, registrar na carta que a IE está em transferência.</w:t>
      </w:r>
    </w:p>
    <w:p>
      <w:pPr>
        <w:pStyle w:val="ListBullet"/>
        <w:ind w:left="340"/>
      </w:pPr>
      <w:r>
        <w:t xml:space="preserve">Nome do arquivo: </w:t>
      </w:r>
      <w:r>
        <w:rPr>
          <w:rFonts w:ascii="Consolas" w:hAnsi="Consolas"/>
          <w:sz w:val="18"/>
        </w:rPr>
        <w:t>04c_Cartao_CNPJ.pdf</w:t>
      </w:r>
      <w:r>
        <w:t>. Mesmo PDF nos dois processos.</w:t>
      </w:r>
    </w:p>
    <w:p>
      <w:r>
        <w:rPr>
          <w:b/>
        </w:rPr>
        <w:t>Responsável:</w:t>
      </w:r>
      <w:r>
        <w:t xml:space="preserve"> Videl (Adailton) · </w:t>
      </w:r>
      <w:r>
        <w:rPr>
          <w:b/>
        </w:rPr>
        <w:t>Prazo:</w:t>
      </w:r>
      <w:r>
        <w:t xml:space="preserve"> 03/09/2026.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