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11 — Termo de referência: Laudo Técnico de Engenheiro (CREA)</w:t>
      </w:r>
    </w:p>
    <w:p>
      <w:r>
        <w:rPr>
          <w:b/>
        </w:rPr>
        <w:t>Obrigatório?</w:t>
      </w:r>
      <w:r>
        <w:t xml:space="preserve"> Não. </w:t>
      </w:r>
      <w:r>
        <w:rPr>
          <w:b/>
        </w:rPr>
        <w:t>Recomendado</w:t>
      </w:r>
      <w:r>
        <w:t xml:space="preserve"> pelo relatório de 01/09 para o Amortecedor (1ª onda) e para o Sistema de Giro (2ª onda), por serem os bens em que a dissimilaridade se prova com número. Serve como prova de terceiro na consulta pública e na réplica a eventual contestação. </w:t>
      </w:r>
      <w:r>
        <w:rPr>
          <w:b/>
        </w:rPr>
        <w:t>Quem contrata:</w:t>
      </w:r>
      <w:r>
        <w:t xml:space="preserve"> Videl. </w:t>
      </w:r>
      <w:r>
        <w:rPr>
          <w:b/>
        </w:rPr>
        <w:t>Quem assina:</w:t>
      </w:r>
      <w:r>
        <w:t xml:space="preserve"> qualquer engenheiro(a) com registro ativo no CREA (mecânica para o amortecedor; elétrica/eletrônica ou automação para a TCU, se estendido). </w:t>
      </w:r>
      <w:r>
        <w:rPr>
          <w:b/>
        </w:rPr>
        <w:t>Não precisa ser funcionário</w:t>
      </w:r>
      <w:r>
        <w:t xml:space="preserve"> da Videl nem da Factiun; recomenda-se que </w:t>
      </w:r>
      <w:r>
        <w:rPr>
          <w:b/>
        </w:rPr>
        <w:t>não seja</w:t>
      </w:r>
      <w:r>
        <w:t xml:space="preserve"> vinculado à pleiteante, para valer como parecer independente. </w:t>
      </w:r>
      <w:r>
        <w:rPr>
          <w:b/>
        </w:rPr>
        <w:t>Prazo:</w:t>
      </w:r>
      <w:r>
        <w:t xml:space="preserve"> 30/09/2026 (antes da consulta pública). Se sair depois do protocolo, juntar por Peticionamento Intercorrente.</w:t>
      </w:r>
    </w:p>
    <w:p>
      <w:pPr>
        <w:pStyle w:val="Heading2"/>
      </w:pPr>
      <w:r>
        <w:rPr>
          <w:color w:val="0E4F63"/>
        </w:rPr>
        <w:t>Escopo do laudo (por bem)</w:t>
      </w:r>
    </w:p>
    <w:p>
      <w:pPr>
        <w:pStyle w:val="ListNumber"/>
        <w:ind w:left="340"/>
      </w:pPr>
      <w:r>
        <w:rPr>
          <w:b/>
        </w:rPr>
        <w:t>Identificação do bem</w:t>
      </w:r>
      <w:r>
        <w:t xml:space="preserve"> com os mesmos parâmetros da descrição pleiteada (sem marca):</w:t>
      </w:r>
    </w:p>
    <w:p>
      <w:pPr>
        <w:pStyle w:val="ListBullet"/>
        <w:ind w:left="680"/>
      </w:pPr>
      <w:r>
        <w:t>Amortecedor: força de amortecimento 3.300 a 8.650 N; curso nominal 381 mm; tração mínima 20 kN; -20 °C a +60 °C; névoa salina ASTM B117; vida útil 2 milhões de ciclos.</w:t>
      </w:r>
    </w:p>
    <w:p>
      <w:pPr>
        <w:pStyle w:val="ListBullet"/>
        <w:ind w:left="680"/>
      </w:pPr>
      <w:r>
        <w:t>TCU (opcional): rastreamento e backtracking em terreno inclinado; Zigbee, BLE e RS485; OTA; IP65/NEMA 3R; IEC 62817.</w:t>
      </w:r>
    </w:p>
    <w:p>
      <w:pPr>
        <w:pStyle w:val="ListNumber"/>
        <w:ind w:left="340"/>
      </w:pPr>
      <w:r>
        <w:rPr>
          <w:b/>
        </w:rPr>
        <w:t>Função no seguidor solar</w:t>
      </w:r>
      <w:r>
        <w:t xml:space="preserve"> e por que os parâmetros são requisitos de projeto (vento, ciclos, ambiente).</w:t>
      </w:r>
    </w:p>
    <w:p>
      <w:pPr>
        <w:pStyle w:val="ListNumber"/>
        <w:ind w:left="340"/>
      </w:pPr>
      <w:r>
        <w:rPr>
          <w:b/>
        </w:rPr>
        <w:t>Análise de dissimilaridade</w:t>
      </w:r>
      <w:r>
        <w:t>: comparar os parâmetros com os produtos nacionais mais próximos identificados (para o amortecedor: fabricantes de amortecedores industriais/automotivos, ex.: verificar Cofap/Marelli industrial), demonstrando ponto a ponto por que não atendem à aplicação.</w:t>
      </w:r>
    </w:p>
    <w:p>
      <w:pPr>
        <w:pStyle w:val="ListNumber"/>
        <w:ind w:left="340"/>
      </w:pPr>
      <w:r>
        <w:rPr>
          <w:b/>
        </w:rPr>
        <w:t>Conclusão</w:t>
      </w:r>
      <w:r>
        <w:t xml:space="preserve"> de que não há produto nacional equivalente com os parâmetros indicados, ou de que o nacional existente não atende (com base no art. 14, I, da Res. 512/2023 — similaridade por critérios alternativos após a Gecex 760/2025).</w:t>
      </w:r>
    </w:p>
    <w:p>
      <w:pPr>
        <w:pStyle w:val="ListNumber"/>
        <w:ind w:left="340"/>
      </w:pPr>
      <w:r>
        <w:rPr>
          <w:b/>
        </w:rPr>
        <w:t>ART</w:t>
      </w:r>
      <w:r>
        <w:t xml:space="preserve"> (Anotação de Responsabilidade Técnica) recolhida no CREA e anexada ao laudo.</w:t>
      </w:r>
    </w:p>
    <w:p>
      <w:pPr>
        <w:pStyle w:val="Heading2"/>
      </w:pPr>
      <w:r>
        <w:rPr>
          <w:color w:val="0E4F63"/>
        </w:rPr>
        <w:t>Entregáveis</w:t>
      </w:r>
    </w:p>
    <w:p>
      <w:pPr>
        <w:pStyle w:val="ListBullet"/>
        <w:ind w:left="340"/>
      </w:pPr>
      <w:r>
        <w:t>Laudo em PDF nativo, assinado digitalmente (gov.br ou ICP), com ART anexa.</w:t>
      </w:r>
    </w:p>
    <w:p>
      <w:pPr>
        <w:pStyle w:val="ListBullet"/>
        <w:ind w:left="340"/>
      </w:pPr>
      <w:r>
        <w:t>Referências aos catálogos dos fabricantes (XSD; IED) e às consultas a fabricantes nacionais (doc. 12), quando disponíveis.</w:t>
      </w:r>
    </w:p>
    <w:p>
      <w:pPr>
        <w:pStyle w:val="Heading2"/>
      </w:pPr>
      <w:r>
        <w:rPr>
          <w:color w:val="0E4F63"/>
        </w:rPr>
        <w:t>Como usar</w:t>
      </w:r>
    </w:p>
    <w:p>
      <w:pPr>
        <w:pStyle w:val="ListBullet"/>
        <w:ind w:left="340"/>
      </w:pPr>
      <w:r>
        <w:t>1ª onda: juntar ao processo do Amortecedor (</w:t>
      </w:r>
      <w:r>
        <w:rPr>
          <w:rFonts w:ascii="Consolas" w:hAnsi="Consolas"/>
          <w:sz w:val="18"/>
        </w:rPr>
        <w:t>AMORT_11_Laudo_Tecnico_CREA.pdf</w:t>
      </w:r>
      <w:r>
        <w:t>) — no protocolo, se pronto; senão, por intercorrente antes do fim da consulta pública.</w:t>
      </w:r>
    </w:p>
    <w:p>
      <w:pPr>
        <w:pStyle w:val="ListBullet"/>
        <w:ind w:left="340"/>
      </w:pPr>
      <w:r>
        <w:t>Manter cópia no "kit de réplica" (comparativo ponto a ponto, capacidade real do contestante, prazo de entrega) para responder a contestação em até 10 dias úteis.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