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OFÍCIO VIDEL T&amp;L Nº 02/2026 — EX-TARIFÁRIO FACTIUN SUN BR</w:t>
      </w:r>
    </w:p>
    <w:p>
      <w:r>
        <w:rPr>
          <w:i/>
        </w:rPr>
        <w:t>(Papel timbrado da Videl T&amp;I Transportes — CNPJ 63.147.064/0001-30)</w:t>
      </w:r>
    </w:p>
    <w:p>
      <w:r>
        <w:t>São Paulo, 02 de setembro de 2026.</w:t>
      </w:r>
    </w:p>
    <w:p>
      <w:r>
        <w:rPr>
          <w:b/>
        </w:rPr>
        <w:t>À Factiun Sun BR Ltda</w:t>
      </w:r>
      <w:r>
        <w:t xml:space="preserve"> A/C Sr. Tony Wellington Lamenha Lins — Representante legal A/C Sr. Iñigo Bonilla — Documentação C/C Sra. Johana Alcalde · Sra. Nathalyn Teiche</w:t>
      </w:r>
    </w:p>
    <w:p>
      <w:r>
        <w:rPr>
          <w:b/>
        </w:rPr>
        <w:t>Assunto:</w:t>
      </w:r>
      <w:r>
        <w:t xml:space="preserve"> Pleitos de Ex-tarifário — Amortecedores (NCM 8479.90.90) e Unidades de controle TCU (NCM 8479.90.90) — correções aplicadas, pendências e cronograma até o protocolo</w:t>
      </w:r>
    </w:p>
    <w:p>
      <w:r>
        <w:t>Prezados,</w:t>
      </w:r>
    </w:p>
    <w:p>
      <w:r>
        <w:t xml:space="preserve">Em continuidade ao Relatório de Análise de 01/09/2026 (Videl T&amp;L para Factiun Sun BR), informamos as correções que aplicamos ao pacote documental, os itens que dependem exclusivamente da Factiun, com prazos, e os próximos passos até o protocolo dos dois primeiros processos no SEI/ColaboraGov, previsto para </w:t>
      </w:r>
      <w:r>
        <w:rPr>
          <w:b/>
        </w:rPr>
        <w:t>10 a 15 de setembro de 2026</w:t>
      </w:r>
      <w:r>
        <w:t>.</w:t>
      </w:r>
    </w:p>
    <w:p>
      <w:pPr>
        <w:pStyle w:val="Heading2"/>
      </w:pPr>
      <w:r>
        <w:rPr>
          <w:color w:val="0E4F63"/>
        </w:rP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Pleiteante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Factiun Sun BR Ltda — CNPJ 64.947.469/0001-15 — Salvador-BA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Procurador / usuário externo SEI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Gearlison da Silva Caires (Videl T&amp;L) — procuração de 21/08/2026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Processo 1 (1ª onda)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Amortecedores hidráulicos — NCM 8479.90.90 — BK — II 14% → 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Processo 2 (1ª onda)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Unidades de controle de seguidores (TCU) — NCM 8479.90.90 — BK — II 14% → 0% (ver item 4)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2ª onda (condicional)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Módulo FV dedicado 45 W (após parecer de classificação) · Sistema de Giro (somente o que o Ex 454 não cobrir)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Retirado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Mancal / conjunto de rolamentos (fabricante nacional declarado)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Res. Gecex nº 512/2023 · Relatório de análise de 01/09/2026 · Pacote de 28/08</w:t>
            </w:r>
          </w:p>
        </w:tc>
      </w:tr>
    </w:tbl>
    <w:p/>
    <w:p>
      <w:pPr>
        <w:pStyle w:val="Heading2"/>
      </w:pPr>
      <w:r>
        <w:rPr>
          <w:color w:val="0E4F63"/>
        </w:rPr>
        <w:t>2. Correções já aplicadas pela Videl (pacote de 02/09)</w:t>
      </w:r>
    </w:p>
    <w:p>
      <w:pPr>
        <w:pStyle w:val="ListNumber"/>
        <w:ind w:left="340"/>
      </w:pPr>
      <w:r>
        <w:rPr>
          <w:b/>
        </w:rPr>
        <w:t>Descrições do Ex pretendido</w:t>
      </w:r>
      <w:r>
        <w:t xml:space="preserve"> reescritas no padrão TEC (plural, sem marca ou modelo, parâmetros numéricos) nas cartas justificativas, memórias técnicas, formulários e declarações de usuário final dos dois processos, com os textos do Pacote de 28/08.</w:t>
      </w:r>
    </w:p>
    <w:p>
      <w:pPr>
        <w:pStyle w:val="ListNumber"/>
        <w:ind w:left="340"/>
      </w:pPr>
      <w:r>
        <w:rPr>
          <w:b/>
        </w:rPr>
        <w:t>Marca comercial removida</w:t>
      </w:r>
      <w:r>
        <w:t xml:space="preserve"> da memória técnica e da carta da TCU.</w:t>
      </w:r>
    </w:p>
    <w:p>
      <w:pPr>
        <w:pStyle w:val="ListNumber"/>
        <w:ind w:left="340"/>
      </w:pPr>
      <w:r>
        <w:rPr>
          <w:b/>
        </w:rPr>
        <w:t>NCM da TCU unificada em 8479.90.90</w:t>
      </w:r>
      <w:r>
        <w:t xml:space="preserve"> (BK, 14%) em todos os documentos do processo; o dossiê de 20/08 misturava 8479.90.90 (ficha, declaração) e 8517.62.59 (memória Rev. 01 e carta).</w:t>
      </w:r>
    </w:p>
    <w:p>
      <w:pPr>
        <w:pStyle w:val="ListNumber"/>
        <w:ind w:left="340"/>
      </w:pPr>
      <w:r>
        <w:rPr>
          <w:b/>
        </w:rPr>
        <w:t>Declarações de usuário final</w:t>
      </w:r>
      <w:r>
        <w:t xml:space="preserve"> reformuladas: título "Declaração de Usuário Final", data em Fortaleza-CE, uma declaração por processo com a NCM e a descrição do bem, campo de assinatura digital (gov.br ou ICP-Brasil) e Anexo I para o relatório PVsyst.</w:t>
      </w:r>
    </w:p>
    <w:p>
      <w:pPr>
        <w:pStyle w:val="ListNumber"/>
        <w:ind w:left="340"/>
      </w:pPr>
      <w:r>
        <w:rPr>
          <w:b/>
        </w:rPr>
        <w:t>Cartas justificativas</w:t>
      </w:r>
      <w:r>
        <w:t xml:space="preserve"> reemitidas para reassinatura, com sede em Salvador-BA, endereço completo, menção ao Atestado ABIMAQ e às consultas a fabricantes nacionais.</w:t>
      </w:r>
    </w:p>
    <w:p>
      <w:pPr>
        <w:pStyle w:val="ListNumber"/>
        <w:ind w:left="340"/>
      </w:pPr>
      <w:r>
        <w:rPr>
          <w:b/>
        </w:rPr>
        <w:t>Modelos de fatura proforma</w:t>
      </w:r>
      <w:r>
        <w:t xml:space="preserve"> preparados com os dados corretos do importador (Factiun Sun BR, destino Brasil), para envio à XSD e à IED.</w:t>
      </w:r>
    </w:p>
    <w:p>
      <w:pPr>
        <w:pStyle w:val="ListNumber"/>
        <w:ind w:left="340"/>
      </w:pPr>
      <w:r>
        <w:rPr>
          <w:b/>
        </w:rPr>
        <w:t>Projeto de investimento</w:t>
      </w:r>
      <w:r>
        <w:t xml:space="preserve"> revisado para consistência (NCM da TCU, mancal fora do pleito, sede em Salvador, alerta de cronograma).</w:t>
      </w:r>
    </w:p>
    <w:p>
      <w:pPr>
        <w:pStyle w:val="ListNumber"/>
        <w:ind w:left="340"/>
      </w:pPr>
      <w:r>
        <w:rPr>
          <w:b/>
        </w:rPr>
        <w:t>Números de geração (MWh/ano) retirados</w:t>
      </w:r>
      <w:r>
        <w:t xml:space="preserve"> de cartas e declarações até a confirmação pelo relatório PVsyst; mantido o ganho 1.539 → 1.998 kWh/kWp/ano (+29,8%).</w:t>
      </w:r>
    </w:p>
    <w:p>
      <w:pPr>
        <w:pStyle w:val="ListNumber"/>
        <w:ind w:left="340"/>
      </w:pPr>
      <w:r>
        <w:rPr>
          <w:b/>
        </w:rPr>
        <w:t>Guia de protocolo</w:t>
      </w:r>
      <w:r>
        <w:t xml:space="preserve"> (checklist passo a passo do SEI/ColaboraGov) entregue aos despachantes.</w:t>
      </w:r>
    </w:p>
    <w:p>
      <w:pPr>
        <w:pStyle w:val="ListNumber"/>
        <w:ind w:left="340"/>
      </w:pPr>
      <w:r>
        <w:rPr>
          <w:b/>
        </w:rPr>
        <w:t>Nota sobre o arquivo "04. Procuração"</w:t>
      </w:r>
      <w:r>
        <w:t xml:space="preserve"> dos zips: é o contrato social; a procuração real de 21/08 será juntada em cada processo.</w:t>
      </w:r>
    </w:p>
    <w:p>
      <w:pPr>
        <w:pStyle w:val="Heading2"/>
      </w:pPr>
      <w:r>
        <w:rPr>
          <w:color w:val="0E4F63"/>
        </w:rPr>
        <w:t>3. Pendências que dependem da Factiun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Responsável</w:t>
            </w:r>
          </w:p>
        </w:tc>
        <w:tc>
          <w:tcPr>
            <w:tcW w:type="dxa" w:w="2493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Prazo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1ª alteração contratual</w:t>
            </w:r>
            <w:r>
              <w:rPr>
                <w:sz w:val="18"/>
              </w:rPr>
              <w:t xml:space="preserve"> (30/04/2026, entrada da Factiun Sun S.L. com 90%) e </w:t>
            </w:r>
            <w:r>
              <w:rPr>
                <w:b/>
                <w:sz w:val="18"/>
              </w:rPr>
              <w:t>2ª alteração</w:t>
            </w:r>
            <w:r>
              <w:rPr>
                <w:sz w:val="18"/>
              </w:rPr>
              <w:t xml:space="preserve"> (10/08/2026, sede Salvador), ambas com registro na JUCEMG; cartão CNPJ nato-digital com endereço de Salvador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Tony Lamenha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05/09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Catálogos originais dos fabricantes</w:t>
            </w:r>
            <w:r>
              <w:rPr>
                <w:sz w:val="18"/>
              </w:rPr>
              <w:t>, em PDF com texto selecionável: XSD (amortecedor — hoje só há o Item Data Sheet da Factiun), IED (TCU — datasheet em espanhol, precisa de tradução), Sunpro (painel — PDF nativo, não imagem), Youju (sistema de giro)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Iñigo Bonilla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08/09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Faturas proforma novas</w:t>
            </w:r>
            <w:r>
              <w:rPr>
                <w:sz w:val="18"/>
              </w:rPr>
              <w:t xml:space="preserve"> em nome da </w:t>
            </w:r>
            <w:r>
              <w:rPr>
                <w:b/>
                <w:sz w:val="18"/>
              </w:rPr>
              <w:t>Factiun Sun BR Ltda</w:t>
            </w:r>
            <w:r>
              <w:rPr>
                <w:sz w:val="18"/>
              </w:rPr>
              <w:t>, destino Brasil (Recife/Salvador), quantidades e valores do projeto Boa Hora, validade ≥ 6 meses, para amortecedor, TCU, painel e sistema de giro. As atuais estão em nome da Factiun Sun S.L.; a da TCU é uma fatura real de 2 unidades com IVA espanhol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Compras Factiun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08/09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Relatório PVsyst completo</w:t>
            </w:r>
            <w:r>
              <w:rPr>
                <w:sz w:val="18"/>
              </w:rPr>
              <w:t xml:space="preserve"> (fixo × seguidor, usina Boa Hora) e definição do par correto de MWh/ano: as cartas trazem 216.452 → 281.106, mas 1.539/1.998 kWh/kWp × 150 MWp resultam em 230.850 → 299.700. Um único conjunto de números em todos os documentos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Nathalyn Teiche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08/09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Reassinatura das cartas justificativas</w:t>
            </w:r>
            <w:r>
              <w:rPr>
                <w:sz w:val="18"/>
              </w:rPr>
              <w:t xml:space="preserve"> (Amortecedor e TCU) nas versões corrigidas, assinatura digital ICP-Brasil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Tony Lamenha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08/09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F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Assinatura da BCP Energy</w:t>
            </w:r>
            <w:r>
              <w:rPr>
                <w:sz w:val="18"/>
              </w:rPr>
              <w:t xml:space="preserve"> nas duas declarações de usuário final (gov.br ou ICP-Brasil), pelo representante legal, datadas em Fortaleza, com o PVsyst anexo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Tony / BCP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09/09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Decisão sobre o 1º embarque</w:t>
            </w:r>
            <w:r>
              <w:rPr>
                <w:sz w:val="18"/>
              </w:rPr>
              <w:t>: o Ex só vale para DI registrada após a publicação no DOU (estimada entre dez/2026 e fev/2027), sem retroatividade. Um embarque em novembro/2026 chega antes da decisão e paga II cheio (14%). Opções: adiar o embarque para depois da publicação ou assumir o II cheio no primeiro lote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Factiun / BCP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09/09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H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Quantidades de amortecedores e TCUs por seguidor no projeto Boa Hora (para as proformas e o formulário)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Engenharia Factiun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05/09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Assinatura da minuta v2.0 do contrato de consultoria Videl × Factiun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Tony / Nathalyn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10/09</w:t>
            </w:r>
          </w:p>
        </w:tc>
      </w:tr>
    </w:tbl>
    <w:p/>
    <w:p>
      <w:pPr>
        <w:pStyle w:val="Heading2"/>
      </w:pPr>
      <w:r>
        <w:rPr>
          <w:color w:val="0E4F63"/>
        </w:rPr>
        <w:t>4. Duas decisões técnicas em curso (Videl + despachante)</w:t>
      </w:r>
    </w:p>
    <w:p>
      <w:pPr>
        <w:pStyle w:val="ListNumber"/>
        <w:ind w:left="340"/>
      </w:pPr>
      <w:r>
        <w:rPr>
          <w:b/>
        </w:rPr>
        <w:t>NCM da TCU.</w:t>
      </w:r>
      <w:r>
        <w:t xml:space="preserve"> Adotamos 8479.90.90 como padrão: mantém o precedente Ex 403 (mesma NCM, "Unidades de controle para seguidor solar") e a coerência com a classificação do seguidor (8479.89.99, SC COSIT 98011/2021). Pedimos parecer de classificação fiscal ao despachante e recomendamos Solução de Consulta na RFB, dado o valor envolvido (R$ 2,76 mi no ano 1). Se o parecer indicar 8517.62.59 (BIT, 20%), ajustaremos todos os documentos antes do protocolo.</w:t>
      </w:r>
    </w:p>
    <w:p>
      <w:pPr>
        <w:pStyle w:val="ListNumber"/>
        <w:ind w:left="340"/>
      </w:pPr>
      <w:r>
        <w:rPr>
          <w:b/>
        </w:rPr>
        <w:t>Sistema de Giro × Ex 454.</w:t>
      </w:r>
      <w:r>
        <w:t xml:space="preserve"> O Ex 454 (NCM 8483.40.10, vigente até 31/12/2027) descreve redutores 55:1, 3.300 a 4.800 N·m, saída &lt; 0,1 rpm, IP65. A especificação Factiun é 55:1, 4.000 N·m, 0,027 rpm, IP66. Se o redutor se enquadrar, não há o que pleitear: basta declarar o Ex 454 na DI. Só abriremos processo para o que ficar descoberto (motor — comparar com Ex 401; suportes). O cotejo formal será concluído em 3 dias úteis. Se houver pleito, a carta precisará de texto próprio (a atual repete o texto da TCU) e de assinatura.</w:t>
      </w:r>
    </w:p>
    <w:p>
      <w:pPr>
        <w:pStyle w:val="Heading2"/>
      </w:pPr>
      <w:r>
        <w:rPr>
          <w:color w:val="0E4F63"/>
        </w:rPr>
        <w:t>5.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Etapa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Cadastro de usuário externo no SEI/ColaboraGov (Gearlison)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iniciado 02/09 · liberação até 09/09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Pendências A a I acima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05 a 09/09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Pasta final por processo (PDFs pesquisáveis, ≤ 30 MB)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09/09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Protocolo dos Processos 1 e 2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10 a 15/09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Análise documental MDIC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 a 4 semanas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Consulta pública (30 dias) — kit de réplica pronto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out/nov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Decisão Gecex + publicação no DOU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dez/2026 a fev/2027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2ª onda (painel; sistema de giro, se aplicável)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após parecer de classificação</w:t>
            </w:r>
          </w:p>
        </w:tc>
      </w:tr>
    </w:tbl>
    <w:p/>
    <w:p>
      <w:pPr>
        <w:pStyle w:val="Heading2"/>
      </w:pPr>
      <w:r>
        <w:rPr>
          <w:color w:val="0E4F63"/>
        </w:rPr>
        <w:t>6. Recomendações complementares</w:t>
      </w:r>
    </w:p>
    <w:p>
      <w:pPr>
        <w:pStyle w:val="ListBullet"/>
        <w:ind w:left="340"/>
      </w:pPr>
      <w:r>
        <w:t xml:space="preserve">Solicitação do </w:t>
      </w:r>
      <w:r>
        <w:rPr>
          <w:b/>
        </w:rPr>
        <w:t>Atestado ABIMAQ</w:t>
      </w:r>
      <w:r>
        <w:t xml:space="preserve"> de inexistência de produção nacional e disparo de </w:t>
      </w:r>
      <w:r>
        <w:rPr>
          <w:b/>
        </w:rPr>
        <w:t>três consultas a fabricantes nacionais</w:t>
      </w:r>
      <w:r>
        <w:t xml:space="preserve"> por bem (Videl, até 15/09).</w:t>
      </w:r>
    </w:p>
    <w:p>
      <w:pPr>
        <w:pStyle w:val="ListBullet"/>
        <w:ind w:left="340"/>
      </w:pPr>
      <w:r>
        <w:rPr>
          <w:b/>
        </w:rPr>
        <w:t>Laudo técnico de engenheiro (CREA)</w:t>
      </w:r>
      <w:r>
        <w:t xml:space="preserve"> para o amortecedor (e sistema de giro, se pleiteado), como prova independente antes da consulta pública (Videl contrata, até 30/09).</w:t>
      </w:r>
    </w:p>
    <w:p>
      <w:pPr>
        <w:pStyle w:val="ListBullet"/>
        <w:ind w:left="340"/>
      </w:pPr>
      <w:r>
        <w:rPr>
          <w:b/>
        </w:rPr>
        <w:t>INMETRO</w:t>
      </w:r>
      <w:r>
        <w:t xml:space="preserve"> do módulo de 45 W (Portaria 140/2022) em paralelo, independente do Ex.</w:t>
      </w:r>
    </w:p>
    <w:p>
      <w:pPr>
        <w:pStyle w:val="ListBullet"/>
        <w:ind w:left="340"/>
      </w:pPr>
      <w:r>
        <w:t xml:space="preserve">Confirmar com a BCP/financiador o impacto da importação no </w:t>
      </w:r>
      <w:r>
        <w:rPr>
          <w:b/>
        </w:rPr>
        <w:t>índice de nacionalização/FINAME</w:t>
      </w:r>
      <w:r>
        <w:t xml:space="preserve"> do projeto Boa Hora.</w:t>
      </w:r>
    </w:p>
    <w:p>
      <w:r>
        <w:t>Agradecemos a agilidade da equipe Factiun na entrega dos dossiês e ficamos à disposição para reunião de alinhamento nesta semana.</w:t>
      </w:r>
    </w:p>
    <w:p>
      <w:r>
        <w:t>Atenciosamente,</w:t>
      </w:r>
    </w:p>
    <w:p>
      <w:r>
        <w:t xml:space="preserve">_______________________________________ </w:t>
      </w:r>
      <w:r>
        <w:rPr>
          <w:b/>
        </w:rPr>
        <w:t>Gearlison da Silva Caires</w:t>
      </w:r>
      <w:r>
        <w:t xml:space="preserve"> Procurador · Videl T&amp;L gcaires@videltel.com.br · +55 11 94376-0266</w:t>
      </w:r>
    </w:p>
    <w:p>
      <w:r>
        <w:t xml:space="preserve">_______________________________________ </w:t>
      </w:r>
      <w:r>
        <w:rPr>
          <w:b/>
        </w:rPr>
        <w:t>José Adailton Santos</w:t>
      </w:r>
      <w:r>
        <w:t xml:space="preserve"> Condução do processo · Videl T&amp;L jadam@videltel.com.br</w:t>
      </w:r>
    </w:p>
    <w:p>
      <w:r>
        <w:rPr>
          <w:b/>
        </w:rPr>
        <w:t>Anexos:</w:t>
      </w:r>
      <w:r>
        <w:t xml:space="preserve"> pacote </w:t>
      </w:r>
      <w:r>
        <w:rPr>
          <w:rFonts w:ascii="Consolas" w:hAnsi="Consolas"/>
          <w:sz w:val="18"/>
        </w:rPr>
        <w:t>docs/ex-tarifario/</w:t>
      </w:r>
      <w:r>
        <w:t xml:space="preserve"> (pastas Amortecedor e TCU, documentos comuns, guia de protocolo) · relatório de análise de 01/09/2026 · planilha de acompanhamento.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