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E4F63"/>
        </w:rPr>
        <w:t>CONTRATO DE PRESTAÇÃO DE SERVIÇOS DE CONSULTORIA EM COMÉRCIO EXTERIOR</w:t>
      </w:r>
    </w:p>
    <w:p>
      <w:pPr>
        <w:pStyle w:val="Heading2"/>
      </w:pPr>
      <w:r>
        <w:rPr>
          <w:color w:val="0E4F63"/>
        </w:rPr>
        <w:t>Validação documental, classificação fiscal e protocolo de pleitos de Ex-tarifário</w:t>
      </w:r>
    </w:p>
    <w:p>
      <w:r>
        <w:rPr>
          <w:b/>
        </w:rPr>
        <w:t>CONTRATANTE:</w:t>
      </w:r>
      <w:r>
        <w:t xml:space="preserve"> </w:t>
      </w:r>
      <w:r>
        <w:rPr>
          <w:b/>
        </w:rPr>
        <w:t>VIDEL T&amp;I TRANSPORTES LTDA</w:t>
      </w:r>
      <w:r>
        <w:t xml:space="preserve"> ("Videl T&amp;L"), pessoa jurídica de direito privado, inscrita no CNPJ sob o nº 63.147.064/0001-30, com sede em [endereço completo da Videl], neste ato representada por seu sócio-administrador, </w:t>
      </w:r>
      <w:r>
        <w:rPr>
          <w:b/>
        </w:rPr>
        <w:t>Gearlison da Silva Caires</w:t>
      </w:r>
      <w:r>
        <w:t>, CPF [___], e-mail gcaires@videltel.com.br.</w:t>
      </w:r>
    </w:p>
    <w:p>
      <w:r>
        <w:rPr>
          <w:b/>
        </w:rPr>
        <w:t>CONTRATADA:</w:t>
      </w:r>
      <w:r>
        <w:t xml:space="preserve"> </w:t>
      </w:r>
      <w:r>
        <w:rPr>
          <w:b/>
        </w:rPr>
        <w:t>PLANETA COMEX CONSULTORIA E SERVIÇOS DE COMÉRCIO EXTERIOR LTDA</w:t>
      </w:r>
      <w:r>
        <w:t xml:space="preserve"> ("Planeta Comex"), sociedade empresária limitada, inscrita no CNPJ sob o nº 09.475.793/0001-70, com sede na Rua Alceu Amoroso Lima, 786, Edifício Tancredo Neves Trade Center, Sala 311, Caminho das Árvores, Salvador-BA, CEP 41820-770, neste ato representada por seu sócio-administrador, </w:t>
      </w:r>
      <w:r>
        <w:rPr>
          <w:b/>
        </w:rPr>
        <w:t>Emerson Lima de Oliveira</w:t>
      </w:r>
      <w:r>
        <w:t>, CPF [___], e-mail emerson.oliveira@planetacomex.com.br, telefone (71) 99938-3799.</w:t>
      </w:r>
    </w:p>
    <w:p>
      <w:r>
        <w:rPr>
          <w:b/>
        </w:rPr>
        <w:t>CLIENTE FINAL (não signatária):</w:t>
      </w:r>
      <w:r>
        <w:t xml:space="preserve"> </w:t>
      </w:r>
      <w:r>
        <w:rPr>
          <w:b/>
        </w:rPr>
        <w:t>FACTIUN SUN BR LTDA</w:t>
      </w:r>
      <w:r>
        <w:t>, CNPJ 64.947.469/0001-15, com sede em Salvador-BA ("Factiun"), contratante dos serviços de consultoria em Ex-tarifário prestados pela Videl T&amp;L.</w:t>
      </w:r>
    </w:p>
    <w:p>
      <w:r>
        <w:t>As partes celebram o presente contrato ("Contrato"), que se rege pelas cláusulas seguintes.</w:t>
      </w:r>
    </w:p>
    <w:p>
      <w:pPr>
        <w:pBdr>
          <w:bottom w:val="single" w:sz="6" w:space="1" w:color="D3DAE1"/>
        </w:pBdr>
      </w:pPr>
    </w:p>
    <w:p>
      <w:pPr>
        <w:pStyle w:val="Heading2"/>
      </w:pPr>
      <w:r>
        <w:rPr>
          <w:color w:val="0E4F63"/>
        </w:rPr>
        <w:t>CLÁUSULA 1 — OBJETO</w:t>
      </w:r>
    </w:p>
    <w:p>
      <w:r>
        <w:t xml:space="preserve">1.1. A Planeta Comex prestará à Videl T&amp;L, na condição de </w:t>
      </w:r>
      <w:r>
        <w:rPr>
          <w:b/>
        </w:rPr>
        <w:t>subcontratada especializada</w:t>
      </w:r>
      <w:r>
        <w:t>, serviços técnicos de comércio exterior para instrução e acompanhamento dos pleitos de concessão de Ex-tarifário da Factiun junto ao MDIC/Gecex (Resolução Gecex nº 512/2023), compreendendo:</w:t>
      </w:r>
    </w:p>
    <w:p>
      <w:r>
        <w:t xml:space="preserve">a) </w:t>
      </w:r>
      <w:r>
        <w:rPr>
          <w:b/>
        </w:rPr>
        <w:t>Validação documental</w:t>
      </w:r>
      <w:r>
        <w:t xml:space="preserve"> dos dossiês de pleito preparados pela Videl T&amp;L, verificando aderência ao rito da Res. 512/2023 e aos modelos do MDIC: formulário, catálogo do fabricante, fatura proforma, procuração, atos societários, memória descritiva técnica, projeto de investimento, declaração de usuário final e carta justificativa;</w:t>
      </w:r>
    </w:p>
    <w:p>
      <w:r>
        <w:t xml:space="preserve">b) </w:t>
      </w:r>
      <w:r>
        <w:rPr>
          <w:b/>
        </w:rPr>
        <w:t>Parecer de classificação fiscal</w:t>
      </w:r>
      <w:r>
        <w:t xml:space="preserve"> (NCM) dos bens objeto dos pleitos e cotejo com Ex-tarifários vigentes, em especial:</w:t>
      </w:r>
    </w:p>
    <w:p>
      <w:pPr>
        <w:pStyle w:val="ListBullet"/>
        <w:ind w:left="680"/>
      </w:pPr>
      <w:r>
        <w:t>Unidades de controle de seguidores solares (TCU): 8479.90.90 × 8517.62.59;</w:t>
      </w:r>
    </w:p>
    <w:p>
      <w:pPr>
        <w:pStyle w:val="ListBullet"/>
        <w:ind w:left="680"/>
      </w:pPr>
      <w:r>
        <w:t>Sistema de giro: 8483.40.10 × 8483.40.90 e enquadramento no Ex 454 vigente (e Ex 401, 306/331/474);</w:t>
      </w:r>
    </w:p>
    <w:p>
      <w:pPr>
        <w:pStyle w:val="ListBullet"/>
        <w:ind w:left="680"/>
      </w:pPr>
      <w:r>
        <w:t>Módulo fotovoltaico dedicado de 45 W: 8479.90.90 × 8541.43.00;</w:t>
      </w:r>
    </w:p>
    <w:p>
      <w:pPr>
        <w:pStyle w:val="ListBullet"/>
        <w:ind w:left="680"/>
      </w:pPr>
      <w:r>
        <w:t>Amortecedores hidráulicos: confirmação de 8479.90.90;</w:t>
      </w:r>
    </w:p>
    <w:p>
      <w:r>
        <w:t xml:space="preserve">c) </w:t>
      </w:r>
      <w:r>
        <w:rPr>
          <w:b/>
        </w:rPr>
        <w:t>Revisão dos textos do "Ex pretendido"</w:t>
      </w:r>
      <w:r>
        <w:t xml:space="preserve"> no padrão TEC (plural, sem marca, parâmetros numéricos verificáveis);</w:t>
      </w:r>
    </w:p>
    <w:p>
      <w:r>
        <w:t xml:space="preserve">d) </w:t>
      </w:r>
      <w:r>
        <w:rPr>
          <w:b/>
        </w:rPr>
        <w:t>Protocolo dos pleitos no SEI/ColaboraGov</w:t>
      </w:r>
      <w:r>
        <w:t xml:space="preserve"> (um processo por NCM), na forma da Cláusula 3, e acompanhamento dos processos até a decisão do Gecex;</w:t>
      </w:r>
    </w:p>
    <w:p>
      <w:r>
        <w:t xml:space="preserve">e) </w:t>
      </w:r>
      <w:r>
        <w:rPr>
          <w:b/>
        </w:rPr>
        <w:t>Suporte à consulta pública</w:t>
      </w:r>
      <w:r>
        <w:t>: monitoramento do painel do MDIC, preparação de réplica a eventual contestação (peticionamento intercorrente, prazo de 10 dias úteis) e resposta a exigências;</w:t>
      </w:r>
    </w:p>
    <w:p>
      <w:r>
        <w:t xml:space="preserve">f) Orientação sobre a </w:t>
      </w:r>
      <w:r>
        <w:rPr>
          <w:b/>
        </w:rPr>
        <w:t>declaração do Ex na Declaração de Importação (DI)</w:t>
      </w:r>
      <w:r>
        <w:t xml:space="preserve"> após a publicação no DOU.</w:t>
      </w:r>
    </w:p>
    <w:p>
      <w:r>
        <w:t xml:space="preserve">1.2. </w:t>
      </w:r>
      <w:r>
        <w:rPr>
          <w:b/>
        </w:rPr>
        <w:t>Primeira onda:</w:t>
      </w:r>
      <w:r>
        <w:t xml:space="preserve"> Amortecedores hidráulicos (NCM 8479.90.90) e Unidades de controle TCU (NCM a confirmar pelo parecer; padrão 8479.90.90). </w:t>
      </w:r>
      <w:r>
        <w:rPr>
          <w:b/>
        </w:rPr>
        <w:t>Segunda onda (condicional):</w:t>
      </w:r>
      <w:r>
        <w:t xml:space="preserve"> módulo dedicado de 45 W e sistema de giro, somente para o que não estiver coberto por Ex vigente.</w:t>
      </w:r>
    </w:p>
    <w:p>
      <w:r>
        <w:t>1.3. Os serviços serão prestados com base no pacote documental entregue pela Videl T&amp;L (</w:t>
      </w:r>
      <w:r>
        <w:rPr>
          <w:rFonts w:ascii="Consolas" w:hAnsi="Consolas"/>
          <w:sz w:val="18"/>
        </w:rPr>
        <w:t>docs/ex-tarifario/</w:t>
      </w:r>
      <w:r>
        <w:t>, versão de 02/09/2026) e no Relatório de Análise de 01/09/2026, que integram este Contrato como Anexo I.</w:t>
      </w:r>
    </w:p>
    <w:p>
      <w:pPr>
        <w:pStyle w:val="Heading2"/>
      </w:pPr>
      <w:r>
        <w:rPr>
          <w:color w:val="0E4F63"/>
        </w:rPr>
        <w:t>CLÁUSULA 2 — PRAZOS E ENTREGAS</w:t>
      </w:r>
    </w:p>
    <w:tbl>
      <w:tblPr>
        <w:tblStyle w:val="TableGrid"/>
        <w:tblW w:type="auto" w:w="0"/>
        <w:tblLook w:firstColumn="1" w:firstRow="1" w:lastColumn="0" w:lastRow="0" w:noHBand="0" w:noVBand="1" w:val="04A0"/>
      </w:tblPr>
      <w:tblGrid>
        <w:gridCol w:w="4986"/>
        <w:gridCol w:w="4986"/>
      </w:tblGrid>
      <w:tr>
        <w:tc>
          <w:tcPr>
            <w:tcW w:type="dxa" w:w="4986"/>
            <w:shd w:val="clear" w:color="auto" w:fill="E9EDF1"/>
          </w:tcPr>
          <w:p>
            <w:r>
              <w:rPr>
                <w:b/>
              </w:rPr>
            </w:r>
            <w:r>
              <w:rPr>
                <w:b/>
                <w:sz w:val="18"/>
              </w:rPr>
              <w:t>Entrega</w:t>
            </w:r>
          </w:p>
        </w:tc>
        <w:tc>
          <w:tcPr>
            <w:tcW w:type="dxa" w:w="4986"/>
            <w:shd w:val="clear" w:color="auto" w:fill="E9EDF1"/>
          </w:tcPr>
          <w:p>
            <w:r>
              <w:rPr>
                <w:b/>
              </w:rPr>
            </w:r>
            <w:r>
              <w:rPr>
                <w:b/>
                <w:sz w:val="18"/>
              </w:rPr>
              <w:t>Prazo</w:t>
            </w:r>
          </w:p>
        </w:tc>
      </w:tr>
      <w:tr>
        <w:tc>
          <w:tcPr>
            <w:tcW w:type="dxa" w:w="4986"/>
          </w:tcPr>
          <w:p>
            <w:r/>
            <w:r>
              <w:rPr>
                <w:sz w:val="18"/>
              </w:rPr>
              <w:t>Parecer de classificação fiscal (TCU, sistema de giro, módulo 45 W, amortecedor)</w:t>
            </w:r>
          </w:p>
        </w:tc>
        <w:tc>
          <w:tcPr>
            <w:tcW w:type="dxa" w:w="4986"/>
          </w:tcPr>
          <w:p>
            <w:r/>
            <w:r>
              <w:rPr>
                <w:sz w:val="18"/>
              </w:rPr>
              <w:t>48 horas após o recebimento do pacote</w:t>
            </w:r>
          </w:p>
        </w:tc>
      </w:tr>
      <w:tr>
        <w:tc>
          <w:tcPr>
            <w:tcW w:type="dxa" w:w="4986"/>
          </w:tcPr>
          <w:p>
            <w:r/>
            <w:r>
              <w:rPr>
                <w:sz w:val="18"/>
              </w:rPr>
              <w:t>Validação documental dos dois dossiês da 1ª onda, com lista de não conformidades</w:t>
            </w:r>
          </w:p>
        </w:tc>
        <w:tc>
          <w:tcPr>
            <w:tcW w:type="dxa" w:w="4986"/>
          </w:tcPr>
          <w:p>
            <w:r/>
            <w:r>
              <w:rPr>
                <w:sz w:val="18"/>
              </w:rPr>
              <w:t>09/09/2026</w:t>
            </w:r>
          </w:p>
        </w:tc>
      </w:tr>
      <w:tr>
        <w:tc>
          <w:tcPr>
            <w:tcW w:type="dxa" w:w="4986"/>
          </w:tcPr>
          <w:p>
            <w:r/>
            <w:r>
              <w:rPr>
                <w:sz w:val="18"/>
              </w:rPr>
              <w:t>Protocolo dos Processos 1 e 2 no SEI/ColaboraGov</w:t>
            </w:r>
          </w:p>
        </w:tc>
        <w:tc>
          <w:tcPr>
            <w:tcW w:type="dxa" w:w="4986"/>
          </w:tcPr>
          <w:p>
            <w:r/>
            <w:r>
              <w:rPr>
                <w:sz w:val="18"/>
              </w:rPr>
              <w:t>10 a 15/09/2026, condicionado à conclusão das pendências da Factiun</w:t>
            </w:r>
          </w:p>
        </w:tc>
      </w:tr>
      <w:tr>
        <w:tc>
          <w:tcPr>
            <w:tcW w:type="dxa" w:w="4986"/>
          </w:tcPr>
          <w:p>
            <w:r/>
            <w:r>
              <w:rPr>
                <w:sz w:val="18"/>
              </w:rPr>
              <w:t>Resposta a exigência ou contestação</w:t>
            </w:r>
          </w:p>
        </w:tc>
        <w:tc>
          <w:tcPr>
            <w:tcW w:type="dxa" w:w="4986"/>
          </w:tcPr>
          <w:p>
            <w:r/>
            <w:r>
              <w:rPr>
                <w:sz w:val="18"/>
              </w:rPr>
              <w:t>até 2 dias úteis antes do vencimento do prazo legal (10 dias úteis)</w:t>
            </w:r>
          </w:p>
        </w:tc>
      </w:tr>
      <w:tr>
        <w:tc>
          <w:tcPr>
            <w:tcW w:type="dxa" w:w="4986"/>
          </w:tcPr>
          <w:p>
            <w:r/>
            <w:r>
              <w:rPr>
                <w:sz w:val="18"/>
              </w:rPr>
              <w:t>Relatório de acompanhamento</w:t>
            </w:r>
          </w:p>
        </w:tc>
        <w:tc>
          <w:tcPr>
            <w:tcW w:type="dxa" w:w="4986"/>
          </w:tcPr>
          <w:p>
            <w:r/>
            <w:r>
              <w:rPr>
                <w:sz w:val="18"/>
              </w:rPr>
              <w:t>quinzenal, por e-mail, até a publicação no DOU</w:t>
            </w:r>
          </w:p>
        </w:tc>
      </w:tr>
    </w:tbl>
    <w:p/>
    <w:p>
      <w:r>
        <w:t>2.1. Prazos que dependam de documentos ou assinaturas da Factiun ficam suspensos enquanto perdurar a pendência, mediante comunicação escrita da Planeta Comex à Videl T&amp;L.</w:t>
      </w:r>
    </w:p>
    <w:p>
      <w:pPr>
        <w:pStyle w:val="Heading2"/>
      </w:pPr>
      <w:r>
        <w:rPr>
          <w:color w:val="0E4F63"/>
        </w:rPr>
        <w:t>CLÁUSULA 3 — PROTOCOLO NO SEI E REPRESENTAÇÃO</w:t>
      </w:r>
    </w:p>
    <w:p>
      <w:r>
        <w:t>3.1. O peticionamento no SEI/ColaboraGov é realizado por pessoa física cadastrada como usuário externo, munida de procuração da Factiun. As partes escolhem uma das seguintes formas, a ser registrada no Anexo II antes do protocolo:</w:t>
      </w:r>
    </w:p>
    <w:p>
      <w:r>
        <w:t xml:space="preserve">a) o protocolo é feito por </w:t>
      </w:r>
      <w:r>
        <w:rPr>
          <w:b/>
        </w:rPr>
        <w:t>Gearlison da Silva Caires</w:t>
      </w:r>
      <w:r>
        <w:t xml:space="preserve"> (procuração da Factiun de 21/08/2026), com a Planeta Comex validando o formulário e os anexos antes do envio; ou</w:t>
      </w:r>
    </w:p>
    <w:p>
      <w:r>
        <w:t xml:space="preserve">b) o protocolo é feito por </w:t>
      </w:r>
      <w:r>
        <w:rPr>
          <w:b/>
        </w:rPr>
        <w:t>Emerson Lima de Oliveira</w:t>
      </w:r>
      <w:r>
        <w:t xml:space="preserve">, mediante </w:t>
      </w:r>
      <w:r>
        <w:rPr>
          <w:b/>
        </w:rPr>
        <w:t>procuração específica outorgada pela Factiun</w:t>
      </w:r>
      <w:r>
        <w:t xml:space="preserve"> (ou substabelecimento, se admitido pela procuração vigente) e cadastro próprio como usuário externo no SEI/ColaboraGov, órgão MDIC.</w:t>
      </w:r>
    </w:p>
    <w:p>
      <w:r>
        <w:t>3.2. Em qualquer das formas, a Planeta Comex responde pela conformidade técnica do que for protocolado; a Videl T&amp;L responde pelo relacionamento com a Factiun e pela obtenção dos documentos junto a ela.</w:t>
      </w:r>
    </w:p>
    <w:p>
      <w:r>
        <w:t xml:space="preserve">3.3. A Planeta Comex </w:t>
      </w:r>
      <w:r>
        <w:rPr>
          <w:b/>
        </w:rPr>
        <w:t>não tratará diretamente com a Factiun nem com a BCP Energy</w:t>
      </w:r>
      <w:r>
        <w:t xml:space="preserve"> sem a participação ou autorização escrita da Videl T&amp;L. Comunicações com o MDIC em nome da pleiteante serão previamente alinhadas com a Videl T&amp;L.</w:t>
      </w:r>
    </w:p>
    <w:p>
      <w:pPr>
        <w:pStyle w:val="Heading2"/>
      </w:pPr>
      <w:r>
        <w:rPr>
          <w:color w:val="0E4F63"/>
        </w:rPr>
        <w:t>CLÁUSULA 4 — OBRIGAÇÕES DA CONTRATADA</w:t>
      </w:r>
    </w:p>
    <w:p>
      <w:r>
        <w:t>4.1. Executar os serviços com a diligência de despachante aduaneiro e consultor de comércio exterior experiente, por profissionais habilitados.</w:t>
      </w:r>
    </w:p>
    <w:p>
      <w:r>
        <w:t>4.2. Apontar por escrito, antes do protocolo, qualquer não conformidade que possa gerar exigência, indeferimento ou arquivamento, lembrando que um pleito indeferido só pode ser reapresentado após um ano.</w:t>
      </w:r>
    </w:p>
    <w:p>
      <w:r>
        <w:t xml:space="preserve">4.3. Guardar sigilo sobre todas as informações recebidas, nos termos do </w:t>
      </w:r>
      <w:r>
        <w:rPr>
          <w:b/>
        </w:rPr>
        <w:t>Termo de Confidencialidade (NDA)</w:t>
      </w:r>
      <w:r>
        <w:t xml:space="preserve"> celebrado nesta data, que integra este Contrato.</w:t>
      </w:r>
    </w:p>
    <w:p>
      <w:r>
        <w:t>4.4. Não utilizar as informações da Factiun para qualquer finalidade diversa do objeto, nem prestar serviços semelhantes a concorrentes da Factiun com uso dessas informações.</w:t>
      </w:r>
    </w:p>
    <w:p>
      <w:r>
        <w:t>4.5. Manter a Videl T&amp;L informada, em até 1 dia útil, de qualquer intimação, exigência, contestação ou movimentação relevante nos processos.</w:t>
      </w:r>
    </w:p>
    <w:p>
      <w:pPr>
        <w:pStyle w:val="Heading2"/>
      </w:pPr>
      <w:r>
        <w:rPr>
          <w:color w:val="0E4F63"/>
        </w:rPr>
        <w:t>CLÁUSULA 5 — OBRIGAÇÕES DA CONTRATANTE</w:t>
      </w:r>
    </w:p>
    <w:p>
      <w:r>
        <w:t>5.1. Entregar o pacote documental e obter da Factiun os documentos, assinaturas e informações necessários.</w:t>
      </w:r>
    </w:p>
    <w:p>
      <w:r>
        <w:t>5.2. Pagar a remuneração na forma da Cláusula 6.</w:t>
      </w:r>
    </w:p>
    <w:p>
      <w:r>
        <w:t>5.3. Apresentar a Planeta Comex à Factiun como parceira técnica da Videl T&amp;L e providenciar, se aplicável, a procuração da Cláusula 3.1(b).</w:t>
      </w:r>
    </w:p>
    <w:p>
      <w:pPr>
        <w:pStyle w:val="Heading2"/>
      </w:pPr>
      <w:r>
        <w:rPr>
          <w:color w:val="0E4F63"/>
        </w:rPr>
        <w:t>CLÁUSULA 6 — REMUNERAÇÃO</w:t>
      </w:r>
    </w:p>
    <w:p>
      <w:r>
        <w:t>6.1. Pelos serviços, a Videl T&amp;L pagará à Planeta Comex:</w:t>
      </w:r>
    </w:p>
    <w:p>
      <w:r>
        <w:t xml:space="preserve">a) </w:t>
      </w:r>
      <w:r>
        <w:rPr>
          <w:b/>
        </w:rPr>
        <w:t>Honorários fixos</w:t>
      </w:r>
      <w:r>
        <w:t xml:space="preserve"> de R$ [___] por processo protocolado na 1ª onda (validação, parecer e protocolo), pagos [___]% na assinatura e [___]% no protocolo;</w:t>
      </w:r>
    </w:p>
    <w:p>
      <w:r>
        <w:t xml:space="preserve">b) </w:t>
      </w:r>
      <w:r>
        <w:rPr>
          <w:b/>
        </w:rPr>
        <w:t>Acompanhamento</w:t>
      </w:r>
      <w:r>
        <w:t xml:space="preserve"> de R$ [___] por mês, por processo, do protocolo até a publicação no DOU ou arquivamento, limitado a [___] meses;</w:t>
      </w:r>
    </w:p>
    <w:p>
      <w:r>
        <w:t xml:space="preserve">c) </w:t>
      </w:r>
      <w:r>
        <w:rPr>
          <w:b/>
        </w:rPr>
        <w:t>Honorário de êxito</w:t>
      </w:r>
      <w:r>
        <w:t xml:space="preserve"> de [___]% sobre [base: honorário de êxito recebido pela Videl T&amp;L da Factiun / economia de II no primeiro ano], pago em até 30 dias após a publicação da Resolução Gecex no DOU;</w:t>
      </w:r>
    </w:p>
    <w:p>
      <w:r>
        <w:t>d) Processos da 2ª onda: conforme proposta adicional.</w:t>
      </w:r>
    </w:p>
    <w:p>
      <w:r>
        <w:t>6.2. Despesas com taxas oficiais, ART de laudo técnico, atestado ABIMAQ e traduções serão pagas pela Videl T&amp;L mediante aprovação prévia por escrito.</w:t>
      </w:r>
    </w:p>
    <w:p>
      <w:r>
        <w:t>6.3. A Planeta Comex emitirá nota fiscal de serviços; os pagamentos serão feitos por transferência bancária em até 10 dias do recebimento da nota.</w:t>
      </w:r>
    </w:p>
    <w:p>
      <w:r>
        <w:t>6.4. A remuneração da Planeta Comex é devida pela Videl T&amp;L e não cria vínculo de cobrança com a Factiun.</w:t>
      </w:r>
    </w:p>
    <w:p>
      <w:pPr>
        <w:pStyle w:val="Heading2"/>
      </w:pPr>
      <w:r>
        <w:rPr>
          <w:color w:val="0E4F63"/>
        </w:rPr>
        <w:t>CLÁUSULA 7 — PROPRIEDADE DOS TRABALHOS</w:t>
      </w:r>
    </w:p>
    <w:p>
      <w:r>
        <w:t>7.1. Pareceres, revisões e documentos produzidos pela Planeta Comex no âmbito deste Contrato pertencem à Videl T&amp;L, que poderá entregá-los à Factiun. A Planeta Comex poderá manter cópia para fins de arquivo e defesa profissional, sob sigilo.</w:t>
      </w:r>
    </w:p>
    <w:p>
      <w:pPr>
        <w:pStyle w:val="Heading2"/>
      </w:pPr>
      <w:r>
        <w:rPr>
          <w:color w:val="0E4F63"/>
        </w:rPr>
        <w:t>CLÁUSULA 8 — PROTEÇÃO DE DADOS</w:t>
      </w:r>
    </w:p>
    <w:p>
      <w:r>
        <w:t xml:space="preserve">8.1. As partes cumprirão a Lei nº 13.709/2018 (LGPD). Os dados pessoais contidos nos documentos (representantes legais, procuradores, sócios) serão tratados exclusivamente para a instrução dos pleitos, e a Planeta Comex atua como </w:t>
      </w:r>
      <w:r>
        <w:rPr>
          <w:b/>
        </w:rPr>
        <w:t>operadora</w:t>
      </w:r>
      <w:r>
        <w:t xml:space="preserve"> por conta da Videl T&amp;L, eliminando os dados ao término do Contrato, salvo dever legal de guarda.</w:t>
      </w:r>
    </w:p>
    <w:p>
      <w:pPr>
        <w:pStyle w:val="Heading2"/>
      </w:pPr>
      <w:r>
        <w:rPr>
          <w:color w:val="0E4F63"/>
        </w:rPr>
        <w:t>CLÁUSULA 9 — NÃO CONCORRÊNCIA E NÃO ALICIAMENTO</w:t>
      </w:r>
    </w:p>
    <w:p>
      <w:r>
        <w:t>9.1. Durante a vigência e por 12 meses após o término, a Planeta Comex não prestará, diretamente ou por interposta pessoa, serviços de Ex-tarifário ou classificação fiscal à Factiun, à Factiun Sun S.L. ou à BCP Energy sem a intermediação da Videl T&amp;L, nem aliciará esses clientes.</w:t>
      </w:r>
    </w:p>
    <w:p>
      <w:pPr>
        <w:pStyle w:val="Heading2"/>
      </w:pPr>
      <w:r>
        <w:rPr>
          <w:color w:val="0E4F63"/>
        </w:rPr>
        <w:t>CLÁUSULA 10 — RESPONSABILIDADE</w:t>
      </w:r>
    </w:p>
    <w:p>
      <w:r>
        <w:t>10.1. A Planeta Comex responde pelos danos diretos decorrentes de erro técnico comprovado em seus pareceres ou no protocolo, limitados ao valor total dos honorários recebidos neste Contrato, salvo dolo ou culpa grave.</w:t>
      </w:r>
    </w:p>
    <w:p>
      <w:r>
        <w:t>10.2. Nenhuma das partes garante a concessão do Ex-tarifário, que depende de decisão discricionária do Gecex e do resultado da consulta pública.</w:t>
      </w:r>
    </w:p>
    <w:p>
      <w:pPr>
        <w:pStyle w:val="Heading2"/>
      </w:pPr>
      <w:r>
        <w:rPr>
          <w:color w:val="0E4F63"/>
        </w:rPr>
        <w:t>CLÁUSULA 11 — VIGÊNCIA E RESCISÃO</w:t>
      </w:r>
    </w:p>
    <w:p>
      <w:r>
        <w:t>11.1. O Contrato vigora da assinatura até a publicação no DOU da decisão sobre os processos da 1ª onda ou seu arquivamento, limitado a 12 meses, prorrogável por aditivo.</w:t>
      </w:r>
    </w:p>
    <w:p>
      <w:r>
        <w:t>11.2. Qualquer parte pode rescindir mediante aviso de 30 dias. Em caso de rescisão pela Videl T&amp;L sem culpa da Planeta Comex, são devidos os honorários das etapas concluídas. Em caso de descumprimento do NDA ou da Cláusula 9, a rescisão é imediata, sem prejuízo das penalidades.</w:t>
      </w:r>
    </w:p>
    <w:p>
      <w:r>
        <w:t>11.3. As Cláusulas 4.3, 4.4, 7, 8, 9 e 10 sobrevivem ao término.</w:t>
      </w:r>
    </w:p>
    <w:p>
      <w:pPr>
        <w:pStyle w:val="Heading2"/>
      </w:pPr>
      <w:r>
        <w:rPr>
          <w:color w:val="0E4F63"/>
        </w:rPr>
        <w:t>CLÁUSULA 12 — DISPOSIÇÕES GERAIS</w:t>
      </w:r>
    </w:p>
    <w:p>
      <w:r>
        <w:t>12.1. Este Contrato não cria vínculo empregatício, sociedade ou representação entre as partes além do previsto na Cláusula 3.</w:t>
      </w:r>
    </w:p>
    <w:p>
      <w:r>
        <w:t>12.2. Comunicações válidas: por e-mail, para gcaires@videltel.com.br e jadam@videltel.com.br (Videl T&amp;L) e emerson.oliveira@planetacomex.com.br (Planeta Comex).</w:t>
      </w:r>
    </w:p>
    <w:p>
      <w:r>
        <w:t>12.3. Alterações somente por aditivo escrito. A tolerância não implica renúncia.</w:t>
      </w:r>
    </w:p>
    <w:p>
      <w:r>
        <w:t>12.4. Fica eleito o foro da comarca de [São Paulo-SP / Salvador-BA], com renúncia a qualquer outro.</w:t>
      </w:r>
    </w:p>
    <w:p>
      <w:r>
        <w:t>E por estarem justas e contratadas, as partes assinam o presente em meio eletrônico (gov.br ou ICP-Brasil).</w:t>
      </w:r>
    </w:p>
    <w:p>
      <w:r>
        <w:t>[Local], [dia] de setembro de 2026.</w:t>
      </w:r>
    </w:p>
    <w:p>
      <w:r>
        <w:t xml:space="preserve">_______________________________________ </w:t>
      </w:r>
      <w:r>
        <w:rPr>
          <w:b/>
        </w:rPr>
        <w:t>VIDEL T&amp;I TRANSPORTES LTDA</w:t>
      </w:r>
      <w:r>
        <w:t xml:space="preserve"> Gearlison da Silva Caires — Sócio-administrador</w:t>
      </w:r>
    </w:p>
    <w:p>
      <w:r>
        <w:t xml:space="preserve">_______________________________________ </w:t>
      </w:r>
      <w:r>
        <w:rPr>
          <w:b/>
        </w:rPr>
        <w:t>PLANETA COMEX CONSULTORIA E SERVIÇOS DE COMÉRCIO EXTERIOR LTDA</w:t>
      </w:r>
      <w:r>
        <w:t xml:space="preserve"> Emerson Lima de Oliveira — Sócio-administrador</w:t>
      </w:r>
    </w:p>
    <w:p>
      <w:r>
        <w:rPr>
          <w:b/>
        </w:rPr>
        <w:t>Testemunhas:</w:t>
      </w:r>
    </w:p>
    <w:p>
      <w:pPr>
        <w:pStyle w:val="ListNumber"/>
        <w:ind w:left="340"/>
      </w:pPr>
      <w:r>
        <w:t>_____________________ Nome / CPF</w:t>
      </w:r>
    </w:p>
    <w:p>
      <w:pPr>
        <w:pStyle w:val="ListNumber"/>
        <w:ind w:left="340"/>
      </w:pPr>
      <w:r>
        <w:t>_____________________ Nome / CPF</w:t>
      </w:r>
    </w:p>
    <w:p>
      <w:r>
        <w:rPr>
          <w:b/>
        </w:rPr>
        <w:t>Anexo I</w:t>
      </w:r>
      <w:r>
        <w:t xml:space="preserve"> — Pacote documental </w:t>
      </w:r>
      <w:r>
        <w:rPr>
          <w:rFonts w:ascii="Consolas" w:hAnsi="Consolas"/>
          <w:sz w:val="18"/>
        </w:rPr>
        <w:t>docs/ex-tarifario/</w:t>
      </w:r>
      <w:r>
        <w:t xml:space="preserve"> (02/09/2026) e Relatório de Análise de 01/09/2026. </w:t>
      </w:r>
      <w:r>
        <w:rPr>
          <w:b/>
        </w:rPr>
        <w:t>Anexo II</w:t>
      </w:r>
      <w:r>
        <w:t xml:space="preserve"> — Forma de protocolo escolhida (Cláusula 3.1) e, se aplicável, procuração da Factiun a Emerson Lima de Oliveira. </w:t>
      </w:r>
      <w:r>
        <w:rPr>
          <w:b/>
        </w:rPr>
        <w:t>Anexo III</w:t>
      </w:r>
      <w:r>
        <w:t xml:space="preserve"> — Termo de Confidencialidade (NDA).</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