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00 — Formulário de pleito (conteúdo para o formulário eletrônico do SEI)</w:t>
      </w:r>
    </w:p>
    <w:p>
      <w:pPr>
        <w:ind w:left="454"/>
      </w:pPr>
      <w:r>
        <w:rPr>
          <w:color w:val="4A5A68"/>
        </w:rPr>
        <w:t xml:space="preserve">O formulário real é preenchido </w:t>
      </w:r>
      <w:r>
        <w:rPr>
          <w:b/>
          <w:color w:val="4A5A68"/>
        </w:rPr>
        <w:t>dentro do SEI/ColaboraGov</w:t>
      </w:r>
      <w:r>
        <w:rPr>
          <w:color w:val="4A5A68"/>
        </w:rPr>
        <w:t xml:space="preserve">. Copiar campo a campo. Valores </w:t>
      </w:r>
      <w:r>
        <w:rPr>
          <w:b/>
          <w:color w:val="4A5A68"/>
        </w:rPr>
        <w:t>sem separador de milhar</w:t>
      </w:r>
      <w:r>
        <w:rPr>
          <w:color w:val="4A5A68"/>
        </w:rPr>
        <w:t xml:space="preserve">. Uma pessoa de contato. Guardar este arquivo em Word antes de peticionar. </w:t>
      </w:r>
      <w:r>
        <w:rPr>
          <w:b/>
          <w:color w:val="4A5A68"/>
        </w:rPr>
        <w:t>A Ficha 00 de 20/08 já dizia "BK, II 14%, Ex de referência 8479.90.90 / Ex 403"</w:t>
      </w:r>
      <w:r>
        <w:rPr>
          <w:color w:val="4A5A68"/>
        </w:rPr>
        <w:t>; esta versão mantém esses dados e corrige a memória e a carta, que haviam passado para 8517.62.59.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 do formulário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Tipo de processo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Política de Comércio Exterior: Ex-tarifário para BK e BIT: Concessão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Pleiteante (razão social)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Factiun Sun BR Ltda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CNPJ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64947469000115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Endereço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Rua dos Franciscanos, Galpão 8, Loteamento Dom Avelar, Pirajá, Salvador-BA, CEP 41315-000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Representante legal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Tony Wellington Lamenha Lins — CPF 08190729403 — twlamenha@factiun.com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Pessoa de contato (única)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Gearlison da Silva Caires — procurador — gcaires@videltel.com.br — +55 11 943760266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NCM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8479.90.90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Categoria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BK (bem de capital)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Alíquota atual do II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14%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Alíquota pleiteada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Descrição do Ex pretendido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Unidades eletrônicas de controle de seguidores solares fotovoltaicos, com algoritmos integrados de rastreamento solar e de backtracking para terrenos inclinados, comunicação sem fio Zigbee e Bluetooth Low Energy e serial RS485, atualização remota de firmware, grau de proteção IP65/NEMA 3R, conforme IEC 62817, destinadas à gestão e ao acionamento de uma ou mais fileiras de seguidores.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Ex de referência / precedente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Ex 403 — NCM 8479.90.90 — "Unidades de controle para seguidor solar" — vigente até 31/03/2026, não renovado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País de origem / fabricante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Espanha — IED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Quantidade prevista (12 meses)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[quantidade da proforma nova — projeto Boa Hora, 1.709 seguidores]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Valor FOB previsto (12 meses)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[valor da proforma nova, em EUR/USD] — referência do projeto: R$ 2,76 mi no ano 1; R$ 10,6 mi no ano 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Uso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Integração em seguidores solares Factiun TRX na unidade de Salvador-BA; primeira aplicação na usina Boa Hora, Tacaimbó-PE (150,014 MWp, 1.709 seguidores), usuária final BCP Energy S/A (CNPJ 48.909.887/0001-61)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Ganho de produtividade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1.539 → 1.998 kWh/kWp/ano (+29,8%) com seguidor; a TCU habilita o rastreamento, e o backtracking em terreno inclinado responde por 3 a 5 p.p. (simulação PVsyst anexa à declaração de usuário final)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Produção nacional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Não identificada. Atestado ABIMAQ solicitado; três consultas a integradores nacionais em curso; memória técnica com dissimilaridade parametrizada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Cronograma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Protocolo 09/2026 · embarque previsto 11/2026 a 02/2027 (Valência → Recife) · montagem 12/2026 a 12/2027</w:t>
            </w:r>
          </w:p>
        </w:tc>
      </w:tr>
    </w:tbl>
    <w:p/>
    <w:p>
      <w:pPr>
        <w:pStyle w:val="Heading2"/>
      </w:pPr>
      <w:r>
        <w:rPr>
          <w:color w:val="0E4F63"/>
        </w:rPr>
        <w:t>Anexos a listar no formulário</w:t>
      </w:r>
    </w:p>
    <w:p>
      <w:r>
        <w:t>01 Catálogo do fabricante (com tradução) · 03 Fatura proforma + tradução · 04 Procuração · 04b Contrato social consolidado · 04c Cartão CNPJ · 05 Memória descritiva técnica · 06 Projeto de investimento · 07 Declaração de usuário final + PVsyst · 08 Carta justificativa · (10 Atestado ABIMAQ, se disponível)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